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Ind w:w="-312" w:type="dxa"/>
        <w:tblLook w:val="01E0" w:firstRow="1" w:lastRow="1" w:firstColumn="1" w:lastColumn="1" w:noHBand="0" w:noVBand="0"/>
      </w:tblPr>
      <w:tblGrid>
        <w:gridCol w:w="3360"/>
        <w:gridCol w:w="6440"/>
      </w:tblGrid>
      <w:tr w:rsidR="00F40212" w:rsidRPr="002330FB" w:rsidTr="006B7B4F">
        <w:tc>
          <w:tcPr>
            <w:tcW w:w="3360" w:type="dxa"/>
          </w:tcPr>
          <w:p w:rsidR="00F40212" w:rsidRPr="002330FB" w:rsidRDefault="00F40212" w:rsidP="006B7B4F">
            <w:pPr>
              <w:jc w:val="center"/>
              <w:rPr>
                <w:b/>
              </w:rPr>
            </w:pPr>
            <w:r w:rsidRPr="002330FB">
              <w:rPr>
                <w:b/>
              </w:rPr>
              <w:t>ỦY BAN NHÂN DÂN</w:t>
            </w:r>
          </w:p>
          <w:p w:rsidR="00F40212" w:rsidRPr="002330FB" w:rsidRDefault="00F40212" w:rsidP="006B7B4F">
            <w:pPr>
              <w:jc w:val="center"/>
              <w:rPr>
                <w:b/>
              </w:rPr>
            </w:pPr>
            <w:r w:rsidRPr="002330FB">
              <w:rPr>
                <w:b/>
              </w:rPr>
              <w:t>TỈNH HÀ TĨNH</w:t>
            </w:r>
          </w:p>
          <w:p w:rsidR="00F40212" w:rsidRPr="002330FB" w:rsidRDefault="00F40212" w:rsidP="006B7B4F">
            <w:pPr>
              <w:jc w:val="center"/>
              <w:rPr>
                <w:b/>
              </w:rPr>
            </w:pPr>
            <w:r w:rsidRPr="002330FB">
              <w:rPr>
                <w:b/>
                <w:noProof/>
              </w:rPr>
              <mc:AlternateContent>
                <mc:Choice Requires="wps">
                  <w:drawing>
                    <wp:anchor distT="0" distB="0" distL="114300" distR="114300" simplePos="0" relativeHeight="251659264" behindDoc="0" locked="0" layoutInCell="1" allowOverlap="1" wp14:anchorId="21F6DDF9" wp14:editId="16AE6151">
                      <wp:simplePos x="0" y="0"/>
                      <wp:positionH relativeFrom="column">
                        <wp:posOffset>644525</wp:posOffset>
                      </wp:positionH>
                      <wp:positionV relativeFrom="paragraph">
                        <wp:posOffset>27940</wp:posOffset>
                      </wp:positionV>
                      <wp:extent cx="7112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2pt" to="10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V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mGW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"/>
                  </w:pict>
                </mc:Fallback>
              </mc:AlternateContent>
            </w:r>
          </w:p>
          <w:p w:rsidR="00F40212" w:rsidRPr="002330FB" w:rsidRDefault="00F40212" w:rsidP="006B7B4F">
            <w:pPr>
              <w:spacing w:before="120"/>
              <w:jc w:val="center"/>
            </w:pPr>
            <w:r w:rsidRPr="000A674E">
              <w:rPr>
                <w:sz w:val="26"/>
              </w:rPr>
              <w:t>Số:              /QĐ-UBND</w:t>
            </w:r>
          </w:p>
        </w:tc>
        <w:tc>
          <w:tcPr>
            <w:tcW w:w="6440" w:type="dxa"/>
          </w:tcPr>
          <w:p w:rsidR="00F40212" w:rsidRPr="002330FB" w:rsidRDefault="00F40212" w:rsidP="006B7B4F">
            <w:pPr>
              <w:jc w:val="center"/>
              <w:rPr>
                <w:b/>
              </w:rPr>
            </w:pPr>
            <w:r w:rsidRPr="002330FB">
              <w:rPr>
                <w:b/>
              </w:rPr>
              <w:t>CỘNG HÒA XÃ HỘI CHỦ NGHĨA VIỆT NAM</w:t>
            </w:r>
          </w:p>
          <w:p w:rsidR="00F40212" w:rsidRPr="002330FB" w:rsidRDefault="00F40212" w:rsidP="006B7B4F">
            <w:pPr>
              <w:jc w:val="center"/>
              <w:rPr>
                <w:b/>
              </w:rPr>
            </w:pPr>
            <w:r w:rsidRPr="002330FB">
              <w:rPr>
                <w:b/>
              </w:rPr>
              <w:t>Độc lập - Tự do - Hạnh phúc</w:t>
            </w:r>
          </w:p>
          <w:p w:rsidR="00F40212" w:rsidRPr="002330FB" w:rsidRDefault="00F40212" w:rsidP="006B7B4F">
            <w:pPr>
              <w:jc w:val="center"/>
              <w:rPr>
                <w:b/>
              </w:rPr>
            </w:pPr>
            <w:r w:rsidRPr="002330FB">
              <w:rPr>
                <w:b/>
                <w:noProof/>
              </w:rPr>
              <mc:AlternateContent>
                <mc:Choice Requires="wps">
                  <w:drawing>
                    <wp:anchor distT="0" distB="0" distL="114300" distR="114300" simplePos="0" relativeHeight="251660288" behindDoc="0" locked="0" layoutInCell="1" allowOverlap="1" wp14:anchorId="3AD81B52" wp14:editId="0F9CE9CA">
                      <wp:simplePos x="0" y="0"/>
                      <wp:positionH relativeFrom="column">
                        <wp:posOffset>936625</wp:posOffset>
                      </wp:positionH>
                      <wp:positionV relativeFrom="paragraph">
                        <wp:posOffset>46990</wp:posOffset>
                      </wp:positionV>
                      <wp:extent cx="2044700" cy="0"/>
                      <wp:effectExtent l="12700" t="8890"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3.7pt" to="23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d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6J4T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"/>
                  </w:pict>
                </mc:Fallback>
              </mc:AlternateContent>
            </w:r>
          </w:p>
          <w:p w:rsidR="00F40212" w:rsidRPr="002330FB" w:rsidRDefault="00F40212" w:rsidP="006B7B4F">
            <w:pPr>
              <w:spacing w:before="120"/>
              <w:jc w:val="center"/>
              <w:rPr>
                <w:i/>
              </w:rPr>
            </w:pPr>
            <w:r w:rsidRPr="002330FB">
              <w:rPr>
                <w:i/>
              </w:rPr>
              <w:t xml:space="preserve">                   Hà Tĩnh, ngày          tháng        năm 2023</w:t>
            </w:r>
          </w:p>
        </w:tc>
      </w:tr>
    </w:tbl>
    <w:p w:rsidR="00F40212" w:rsidRPr="004B5653" w:rsidRDefault="00F40212" w:rsidP="00F40212">
      <w:pPr>
        <w:rPr>
          <w:sz w:val="27"/>
          <w:szCs w:val="27"/>
        </w:rPr>
      </w:pPr>
    </w:p>
    <w:p w:rsidR="00F40212" w:rsidRPr="004B5653" w:rsidRDefault="00F40212" w:rsidP="00F40212">
      <w:pPr>
        <w:spacing w:before="120" w:after="60"/>
        <w:jc w:val="center"/>
        <w:rPr>
          <w:b/>
          <w:sz w:val="27"/>
          <w:szCs w:val="27"/>
        </w:rPr>
      </w:pPr>
      <w:r w:rsidRPr="004B5653">
        <w:rPr>
          <w:b/>
          <w:sz w:val="27"/>
          <w:szCs w:val="27"/>
        </w:rPr>
        <w:t>QUYẾT ĐỊNH</w:t>
      </w:r>
    </w:p>
    <w:bookmarkStart w:id="0" w:name="_GoBack"/>
    <w:p w:rsidR="00F40212" w:rsidRPr="004B5653" w:rsidRDefault="00F40212" w:rsidP="00F40212">
      <w:pPr>
        <w:spacing w:before="60" w:after="60"/>
        <w:jc w:val="center"/>
        <w:rPr>
          <w:sz w:val="27"/>
          <w:szCs w:val="27"/>
        </w:rPr>
      </w:pPr>
      <w:r w:rsidRPr="004B5653">
        <w:rPr>
          <w:noProof/>
          <w:sz w:val="27"/>
          <w:szCs w:val="27"/>
        </w:rPr>
        <mc:AlternateContent>
          <mc:Choice Requires="wps">
            <w:drawing>
              <wp:anchor distT="0" distB="0" distL="114300" distR="114300" simplePos="0" relativeHeight="251661312" behindDoc="0" locked="0" layoutInCell="1" allowOverlap="1" wp14:anchorId="2ADC2844" wp14:editId="5B017E16">
                <wp:simplePos x="0" y="0"/>
                <wp:positionH relativeFrom="margin">
                  <wp:posOffset>2285365</wp:posOffset>
                </wp:positionH>
                <wp:positionV relativeFrom="paragraph">
                  <wp:posOffset>641985</wp:posOffset>
                </wp:positionV>
                <wp:extent cx="116840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95pt,50.55pt" to="271.9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z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2m+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">
                <w10:wrap anchorx="margin"/>
              </v:line>
            </w:pict>
          </mc:Fallback>
        </mc:AlternateContent>
      </w:r>
      <w:r w:rsidRPr="004B5653">
        <w:rPr>
          <w:rFonts w:ascii="Times" w:eastAsia="Times" w:hAnsi="Times" w:cs="Times"/>
          <w:b/>
          <w:color w:val="000000"/>
          <w:sz w:val="27"/>
          <w:szCs w:val="27"/>
        </w:rPr>
        <w:t xml:space="preserve">Về việc </w:t>
      </w:r>
      <w:r w:rsidRPr="004B5653">
        <w:rPr>
          <w:rFonts w:eastAsia="Times"/>
          <w:b/>
          <w:sz w:val="27"/>
          <w:szCs w:val="27"/>
        </w:rPr>
        <w:t xml:space="preserve">phê duyệt hỗ trợ kinh phí thực hiện chính sách tập trung, tích tụ ruộng đất năm 2023 theo Nghị quyết số 51/2021/NQ-HĐND </w:t>
      </w:r>
      <w:proofErr w:type="gramStart"/>
      <w:r w:rsidRPr="004B5653">
        <w:rPr>
          <w:rFonts w:eastAsia="Times"/>
          <w:b/>
          <w:sz w:val="27"/>
          <w:szCs w:val="27"/>
        </w:rPr>
        <w:t>ngày  16</w:t>
      </w:r>
      <w:proofErr w:type="gramEnd"/>
      <w:r w:rsidRPr="004B5653">
        <w:rPr>
          <w:rFonts w:eastAsia="Times"/>
          <w:b/>
          <w:sz w:val="27"/>
          <w:szCs w:val="27"/>
        </w:rPr>
        <w:t xml:space="preserve">/12/2021 của Hội đồng nhân dân tỉnh </w:t>
      </w:r>
    </w:p>
    <w:bookmarkEnd w:id="0"/>
    <w:p w:rsidR="00F40212" w:rsidRPr="004B5653" w:rsidRDefault="00F40212" w:rsidP="00F40212">
      <w:pPr>
        <w:spacing w:before="60" w:after="60"/>
        <w:jc w:val="center"/>
        <w:rPr>
          <w:b/>
          <w:sz w:val="27"/>
          <w:szCs w:val="27"/>
        </w:rPr>
      </w:pPr>
    </w:p>
    <w:p w:rsidR="00F40212" w:rsidRPr="004B5653" w:rsidRDefault="00F40212" w:rsidP="00F40212">
      <w:pPr>
        <w:spacing w:before="120" w:after="60"/>
        <w:jc w:val="center"/>
        <w:rPr>
          <w:b/>
          <w:sz w:val="27"/>
          <w:szCs w:val="27"/>
        </w:rPr>
      </w:pPr>
      <w:r w:rsidRPr="004B5653">
        <w:rPr>
          <w:b/>
          <w:sz w:val="27"/>
          <w:szCs w:val="27"/>
        </w:rPr>
        <w:t>ỦY BAN NHÂN DÂN TỈNH</w:t>
      </w:r>
    </w:p>
    <w:p w:rsidR="00F40212" w:rsidRPr="004B5653" w:rsidRDefault="00F40212" w:rsidP="00F40212">
      <w:pPr>
        <w:pStyle w:val="BodyText"/>
        <w:tabs>
          <w:tab w:val="left" w:pos="540"/>
        </w:tabs>
        <w:spacing w:before="120"/>
        <w:ind w:firstLine="720"/>
        <w:jc w:val="both"/>
        <w:rPr>
          <w:rFonts w:ascii="Times New Roman" w:hAnsi="Times New Roman"/>
          <w:i/>
          <w:sz w:val="27"/>
          <w:szCs w:val="27"/>
          <w:lang w:val="vi-VN"/>
        </w:rPr>
      </w:pPr>
      <w:r w:rsidRPr="004B5653">
        <w:rPr>
          <w:rFonts w:ascii="Times New Roman" w:hAnsi="Times New Roman"/>
          <w:i/>
          <w:sz w:val="27"/>
          <w:szCs w:val="27"/>
          <w:lang w:val="vi-VN"/>
        </w:rPr>
        <w:t xml:space="preserve">Căn cứ Luật Tổ chức chính quyền địa phương ngày 19/6/2015; Luật </w:t>
      </w:r>
      <w:r w:rsidRPr="004B5653">
        <w:rPr>
          <w:rFonts w:ascii="Times New Roman" w:hAnsi="Times New Roman"/>
          <w:i/>
          <w:sz w:val="27"/>
          <w:szCs w:val="27"/>
        </w:rPr>
        <w:t>s</w:t>
      </w:r>
      <w:r w:rsidRPr="004B5653">
        <w:rPr>
          <w:rFonts w:ascii="Times New Roman" w:hAnsi="Times New Roman"/>
          <w:i/>
          <w:sz w:val="27"/>
          <w:szCs w:val="27"/>
          <w:lang w:val="vi-VN"/>
        </w:rPr>
        <w:t>ửa đổi, bổ sung một số điều của Luật Tổ chức Chính phủ và Luật Tổ chức chính quyền địa phương ngày 22/11/2019;</w:t>
      </w:r>
    </w:p>
    <w:p w:rsidR="00F40212" w:rsidRPr="004B5653" w:rsidRDefault="00F40212" w:rsidP="00F40212">
      <w:pPr>
        <w:widowControl w:val="0"/>
        <w:pBdr>
          <w:top w:val="nil"/>
          <w:left w:val="nil"/>
          <w:bottom w:val="nil"/>
          <w:right w:val="nil"/>
          <w:between w:val="nil"/>
        </w:pBdr>
        <w:spacing w:before="120"/>
        <w:ind w:left="746"/>
        <w:rPr>
          <w:rFonts w:eastAsia="Times"/>
          <w:i/>
          <w:sz w:val="27"/>
          <w:szCs w:val="27"/>
        </w:rPr>
      </w:pPr>
      <w:r w:rsidRPr="004B5653">
        <w:rPr>
          <w:rFonts w:eastAsia="Times"/>
          <w:i/>
          <w:sz w:val="27"/>
          <w:szCs w:val="27"/>
        </w:rPr>
        <w:t xml:space="preserve">Căn cứ Luật Ngân sách nhà nước ngày 25/6/2015; </w:t>
      </w:r>
    </w:p>
    <w:p w:rsidR="00F40212" w:rsidRPr="004B5653" w:rsidRDefault="00F40212" w:rsidP="00F40212">
      <w:pPr>
        <w:widowControl w:val="0"/>
        <w:pBdr>
          <w:top w:val="nil"/>
          <w:left w:val="nil"/>
          <w:bottom w:val="nil"/>
          <w:right w:val="nil"/>
          <w:between w:val="nil"/>
        </w:pBdr>
        <w:spacing w:before="120"/>
        <w:ind w:left="12" w:right="-2" w:firstLine="733"/>
        <w:jc w:val="both"/>
        <w:rPr>
          <w:rFonts w:eastAsia="Times"/>
          <w:i/>
          <w:sz w:val="27"/>
          <w:szCs w:val="27"/>
        </w:rPr>
      </w:pPr>
      <w:r w:rsidRPr="004B5653">
        <w:rPr>
          <w:rFonts w:eastAsia="Times"/>
          <w:i/>
          <w:sz w:val="27"/>
          <w:szCs w:val="27"/>
        </w:rPr>
        <w:t xml:space="preserve">Căn cứ Nghị quyết số 51/2021/NQ-HĐND ngày 16/12/2021 của Hội đồng  nhân dân tỉnh về việc quy định chính sách khuyến khích phát triển nông nghiệp,  nông thôn gắn với xây dựng tỉnh đạt chuẩn nông thôn mới trên địa bàn tỉnh Hà  Tĩnh giai đoạn 2022-2025; </w:t>
      </w:r>
    </w:p>
    <w:p w:rsidR="00F40212" w:rsidRPr="004B5653" w:rsidRDefault="00F40212" w:rsidP="00F40212">
      <w:pPr>
        <w:spacing w:before="120"/>
        <w:ind w:firstLine="567"/>
        <w:jc w:val="both"/>
        <w:rPr>
          <w:i/>
          <w:sz w:val="27"/>
          <w:szCs w:val="27"/>
        </w:rPr>
      </w:pPr>
      <w:r w:rsidRPr="004B5653">
        <w:rPr>
          <w:i/>
          <w:spacing w:val="-6"/>
          <w:sz w:val="27"/>
          <w:szCs w:val="27"/>
        </w:rPr>
        <w:t>Căn cứ Quyết định số 2726/QĐ-UBND ngày 30/12/2022 của UBND tỉnh v</w:t>
      </w:r>
      <w:r w:rsidRPr="004B5653">
        <w:rPr>
          <w:i/>
          <w:sz w:val="27"/>
          <w:szCs w:val="27"/>
        </w:rPr>
        <w:t xml:space="preserve">ề việc phân bổ và giao dự toán </w:t>
      </w:r>
      <w:proofErr w:type="gramStart"/>
      <w:r w:rsidRPr="004B5653">
        <w:rPr>
          <w:i/>
          <w:sz w:val="27"/>
          <w:szCs w:val="27"/>
        </w:rPr>
        <w:t>thu</w:t>
      </w:r>
      <w:proofErr w:type="gramEnd"/>
      <w:r w:rsidRPr="004B5653">
        <w:rPr>
          <w:i/>
          <w:sz w:val="27"/>
          <w:szCs w:val="27"/>
        </w:rPr>
        <w:t>, chi ngân sách nhà nước năm 2023;</w:t>
      </w:r>
    </w:p>
    <w:p w:rsidR="00F40212" w:rsidRPr="004B5653" w:rsidRDefault="00F40212" w:rsidP="00F40212">
      <w:pPr>
        <w:spacing w:before="120"/>
        <w:ind w:firstLine="567"/>
        <w:jc w:val="both"/>
        <w:rPr>
          <w:i/>
          <w:spacing w:val="-4"/>
          <w:sz w:val="27"/>
          <w:szCs w:val="27"/>
        </w:rPr>
      </w:pPr>
      <w:r w:rsidRPr="004B5653">
        <w:rPr>
          <w:i/>
          <w:spacing w:val="-4"/>
          <w:sz w:val="27"/>
          <w:szCs w:val="27"/>
        </w:rPr>
        <w:t xml:space="preserve">Căn cứ Quyết định số 1083/QĐ-UBND ngày 16/5/2023 của UBND tỉnh về </w:t>
      </w:r>
      <w:r w:rsidRPr="004B5653">
        <w:rPr>
          <w:i/>
          <w:color w:val="000000"/>
          <w:spacing w:val="-4"/>
          <w:sz w:val="27"/>
          <w:szCs w:val="27"/>
          <w:shd w:val="clear" w:color="auto" w:fill="FFFFFF"/>
        </w:rPr>
        <w:t>việc phê duyệt Kế hoạch kinh phí năm 2023 để thực hiện chính sách khuyến khích phát triển nông nghiệp, nông thôn gắn với xây dựng tỉnh đạt chuẩn nông thôn mới;</w:t>
      </w:r>
    </w:p>
    <w:p w:rsidR="00F40212" w:rsidRPr="004B5653" w:rsidRDefault="00F40212" w:rsidP="00F40212">
      <w:pPr>
        <w:widowControl w:val="0"/>
        <w:pBdr>
          <w:top w:val="nil"/>
          <w:left w:val="nil"/>
          <w:bottom w:val="nil"/>
          <w:right w:val="nil"/>
          <w:between w:val="nil"/>
        </w:pBdr>
        <w:spacing w:before="120"/>
        <w:ind w:left="12" w:right="-2" w:firstLine="555"/>
        <w:jc w:val="both"/>
        <w:rPr>
          <w:rFonts w:eastAsia="Times"/>
          <w:i/>
          <w:spacing w:val="-6"/>
          <w:sz w:val="27"/>
          <w:szCs w:val="27"/>
        </w:rPr>
      </w:pPr>
      <w:r w:rsidRPr="004B5653">
        <w:rPr>
          <w:i/>
          <w:spacing w:val="-6"/>
          <w:sz w:val="27"/>
          <w:szCs w:val="27"/>
        </w:rPr>
        <w:t>Căn cứ Quyết định số 2685/QĐ-UBND ngày 16/10/2023 của UBND tỉnh v</w:t>
      </w:r>
      <w:r w:rsidRPr="004B5653">
        <w:rPr>
          <w:i/>
          <w:color w:val="000000"/>
          <w:spacing w:val="-6"/>
          <w:sz w:val="27"/>
          <w:szCs w:val="27"/>
          <w:shd w:val="clear" w:color="auto" w:fill="FFFFFF"/>
        </w:rPr>
        <w:t>ề việc cấp kinh phí thực hiện chính sách hỗ trợ tạo nguồn lực xây dựng thành công tỉnh Hà Tĩnh đạt chuẩn nông thôn mới theo Nghị quyết số 44/2021/NQ-HĐND và chính sách khuyến khích phát triển nông nghiệp, nông thôn gắn với xây dựng tỉnh đạt chuẩn nông thôn mới theo Nghị quyết số 51/2021/NQ-HĐND (Đợt 1 năm 2023); </w:t>
      </w:r>
    </w:p>
    <w:p w:rsidR="00F40212" w:rsidRPr="004B5653" w:rsidRDefault="00F40212" w:rsidP="00F40212">
      <w:pPr>
        <w:widowControl w:val="0"/>
        <w:pBdr>
          <w:top w:val="nil"/>
          <w:left w:val="nil"/>
          <w:bottom w:val="nil"/>
          <w:right w:val="nil"/>
          <w:between w:val="nil"/>
        </w:pBdr>
        <w:spacing w:before="120"/>
        <w:ind w:left="18" w:right="-8" w:firstLine="702"/>
        <w:jc w:val="both"/>
        <w:rPr>
          <w:rFonts w:eastAsia="Times"/>
          <w:i/>
          <w:sz w:val="27"/>
          <w:szCs w:val="27"/>
        </w:rPr>
      </w:pPr>
      <w:r w:rsidRPr="004B5653">
        <w:rPr>
          <w:rFonts w:eastAsia="Times"/>
          <w:i/>
          <w:sz w:val="27"/>
          <w:szCs w:val="27"/>
        </w:rPr>
        <w:t>Theo đề nghị của Liên ngành Sở Tài nguyên và Môi trường - Sở Tài chính tại Văn bản số 5112/LN:TNMT-STC ngày 01/12/2023 (trên cơ sở đề xuất của: UBND huyện Can Lộc tại Văn bản số</w:t>
      </w:r>
      <w:r w:rsidRPr="004B5653">
        <w:rPr>
          <w:i/>
          <w:sz w:val="27"/>
          <w:szCs w:val="27"/>
        </w:rPr>
        <w:t xml:space="preserve"> 4617/UBND-TNMT ngày 20/10/2023</w:t>
      </w:r>
      <w:r w:rsidRPr="004B5653">
        <w:rPr>
          <w:rFonts w:eastAsia="Times"/>
          <w:i/>
          <w:sz w:val="27"/>
          <w:szCs w:val="27"/>
        </w:rPr>
        <w:t xml:space="preserve">; UBND huyện Cẩm Xuyên tại </w:t>
      </w:r>
      <w:r w:rsidRPr="004B5653">
        <w:rPr>
          <w:i/>
          <w:sz w:val="27"/>
          <w:szCs w:val="27"/>
        </w:rPr>
        <w:t>Văn bản số 4121/TTr-UBND ngày 13/11/2023</w:t>
      </w:r>
      <w:r w:rsidRPr="004B5653">
        <w:rPr>
          <w:rFonts w:eastAsia="Times"/>
          <w:i/>
          <w:sz w:val="27"/>
          <w:szCs w:val="27"/>
        </w:rPr>
        <w:t>; UBND huyện Thạch Hà tại Văn bản số</w:t>
      </w:r>
      <w:r w:rsidRPr="004B5653">
        <w:rPr>
          <w:i/>
          <w:sz w:val="27"/>
          <w:szCs w:val="27"/>
        </w:rPr>
        <w:t xml:space="preserve"> 2550/UBND-DN ngày 25/10/2023</w:t>
      </w:r>
      <w:r w:rsidRPr="004B5653">
        <w:rPr>
          <w:rFonts w:eastAsia="Times"/>
          <w:i/>
          <w:sz w:val="27"/>
          <w:szCs w:val="27"/>
        </w:rPr>
        <w:t xml:space="preserve"> và UBND thành phố Hà Tĩnh tại </w:t>
      </w:r>
      <w:r w:rsidRPr="004B5653">
        <w:rPr>
          <w:i/>
          <w:sz w:val="27"/>
          <w:szCs w:val="27"/>
        </w:rPr>
        <w:t>Văn bản số 2394/UBND-KT</w:t>
      </w:r>
      <w:r w:rsidRPr="004B5653">
        <w:rPr>
          <w:i/>
          <w:sz w:val="27"/>
          <w:szCs w:val="27"/>
          <w:vertAlign w:val="subscript"/>
        </w:rPr>
        <w:t>5</w:t>
      </w:r>
      <w:r w:rsidRPr="004B5653">
        <w:rPr>
          <w:i/>
          <w:sz w:val="27"/>
          <w:szCs w:val="27"/>
        </w:rPr>
        <w:t xml:space="preserve"> ngày 21/9/2023)</w:t>
      </w:r>
      <w:r w:rsidR="004B5653" w:rsidRPr="004B5653">
        <w:rPr>
          <w:i/>
          <w:sz w:val="27"/>
          <w:szCs w:val="27"/>
        </w:rPr>
        <w:t>;</w:t>
      </w:r>
      <w:r w:rsidR="004B5653" w:rsidRPr="004B5653">
        <w:rPr>
          <w:i/>
          <w:sz w:val="27"/>
          <w:szCs w:val="27"/>
          <w:lang w:val="pt-BR"/>
        </w:rPr>
        <w:t xml:space="preserve"> </w:t>
      </w:r>
      <w:r w:rsidR="004B5653" w:rsidRPr="004B5653">
        <w:rPr>
          <w:i/>
          <w:sz w:val="27"/>
          <w:szCs w:val="27"/>
          <w:lang w:val="pt-BR"/>
        </w:rPr>
        <w:t>trên cơ sở biểu quyết thống nhất của Thành viên UBND tỉnh (thực hiện trên hệ thống điện tử TD và văn bản giấy).</w:t>
      </w:r>
      <w:r w:rsidRPr="004B5653">
        <w:rPr>
          <w:rFonts w:eastAsia="Times"/>
          <w:i/>
          <w:sz w:val="27"/>
          <w:szCs w:val="27"/>
        </w:rPr>
        <w:t xml:space="preserve"> </w:t>
      </w:r>
    </w:p>
    <w:p w:rsidR="00F40212" w:rsidRPr="004B5653" w:rsidRDefault="00F40212" w:rsidP="00F40212">
      <w:pPr>
        <w:spacing w:before="120"/>
        <w:jc w:val="center"/>
        <w:rPr>
          <w:b/>
          <w:sz w:val="27"/>
          <w:szCs w:val="27"/>
        </w:rPr>
      </w:pPr>
      <w:r w:rsidRPr="004B5653">
        <w:rPr>
          <w:b/>
          <w:sz w:val="27"/>
          <w:szCs w:val="27"/>
        </w:rPr>
        <w:t>QUYẾT ĐỊNH:</w:t>
      </w:r>
    </w:p>
    <w:p w:rsidR="00F40212" w:rsidRPr="004B5653" w:rsidRDefault="00F40212" w:rsidP="00F40212">
      <w:pPr>
        <w:widowControl w:val="0"/>
        <w:pBdr>
          <w:top w:val="nil"/>
          <w:left w:val="nil"/>
          <w:bottom w:val="nil"/>
          <w:right w:val="nil"/>
          <w:between w:val="nil"/>
        </w:pBdr>
        <w:spacing w:before="120"/>
        <w:ind w:left="12" w:right="-8" w:firstLine="719"/>
        <w:jc w:val="both"/>
        <w:rPr>
          <w:spacing w:val="-2"/>
          <w:sz w:val="27"/>
          <w:szCs w:val="27"/>
        </w:rPr>
      </w:pPr>
      <w:proofErr w:type="gramStart"/>
      <w:r w:rsidRPr="004B5653">
        <w:rPr>
          <w:rFonts w:eastAsia="Times"/>
          <w:b/>
          <w:color w:val="000000"/>
          <w:sz w:val="27"/>
          <w:szCs w:val="27"/>
        </w:rPr>
        <w:t>Điều 1.</w:t>
      </w:r>
      <w:proofErr w:type="gramEnd"/>
      <w:r w:rsidRPr="004B5653">
        <w:rPr>
          <w:rFonts w:eastAsia="Times"/>
          <w:b/>
          <w:color w:val="000000"/>
          <w:sz w:val="27"/>
          <w:szCs w:val="27"/>
        </w:rPr>
        <w:t xml:space="preserve"> </w:t>
      </w:r>
      <w:r w:rsidRPr="004B5653">
        <w:rPr>
          <w:rFonts w:eastAsia="Times"/>
          <w:color w:val="000000"/>
          <w:sz w:val="27"/>
          <w:szCs w:val="27"/>
        </w:rPr>
        <w:t>Phê duyệt hỗ trợ</w:t>
      </w:r>
      <w:r w:rsidRPr="004B5653">
        <w:rPr>
          <w:rFonts w:eastAsia="Times"/>
          <w:b/>
          <w:color w:val="000000"/>
          <w:sz w:val="27"/>
          <w:szCs w:val="27"/>
        </w:rPr>
        <w:t xml:space="preserve"> </w:t>
      </w:r>
      <w:r w:rsidRPr="004B5653">
        <w:rPr>
          <w:sz w:val="27"/>
          <w:szCs w:val="27"/>
        </w:rPr>
        <w:t xml:space="preserve">chính sách tập trung, tích tụ ruộng đất, </w:t>
      </w:r>
      <w:r w:rsidRPr="004B5653">
        <w:rPr>
          <w:rFonts w:eastAsia="Times"/>
          <w:color w:val="000000"/>
          <w:sz w:val="27"/>
          <w:szCs w:val="27"/>
        </w:rPr>
        <w:t xml:space="preserve">số tiền: </w:t>
      </w:r>
      <w:r w:rsidRPr="004B5653">
        <w:rPr>
          <w:spacing w:val="-2"/>
          <w:sz w:val="27"/>
          <w:szCs w:val="27"/>
        </w:rPr>
        <w:t xml:space="preserve">1.112.880.000 đồng </w:t>
      </w:r>
      <w:r w:rsidRPr="004B5653">
        <w:rPr>
          <w:i/>
          <w:spacing w:val="-2"/>
          <w:sz w:val="27"/>
          <w:szCs w:val="27"/>
        </w:rPr>
        <w:t>(một tỷ, một trăm mười hai triệu, tám trăm tám mươi ngàn đồng)</w:t>
      </w:r>
      <w:r w:rsidRPr="004B5653">
        <w:rPr>
          <w:spacing w:val="-2"/>
          <w:sz w:val="27"/>
          <w:szCs w:val="27"/>
        </w:rPr>
        <w:t>, trong đó:</w:t>
      </w:r>
    </w:p>
    <w:p w:rsidR="00F40212" w:rsidRPr="004B5653" w:rsidRDefault="00F40212" w:rsidP="00F40212">
      <w:pPr>
        <w:widowControl w:val="0"/>
        <w:pBdr>
          <w:top w:val="nil"/>
          <w:left w:val="nil"/>
          <w:bottom w:val="nil"/>
          <w:right w:val="nil"/>
          <w:between w:val="nil"/>
        </w:pBdr>
        <w:spacing w:before="120"/>
        <w:ind w:right="-8" w:firstLine="720"/>
        <w:jc w:val="both"/>
        <w:rPr>
          <w:rFonts w:eastAsia="Times"/>
          <w:color w:val="000000"/>
          <w:sz w:val="27"/>
          <w:szCs w:val="27"/>
        </w:rPr>
      </w:pPr>
      <w:r w:rsidRPr="004B5653">
        <w:rPr>
          <w:rFonts w:eastAsia="Times"/>
          <w:color w:val="000000"/>
          <w:sz w:val="27"/>
          <w:szCs w:val="27"/>
        </w:rPr>
        <w:lastRenderedPageBreak/>
        <w:t>- Huyện Can Lộc: 432.960.000 đồng;</w:t>
      </w:r>
    </w:p>
    <w:p w:rsidR="00F40212" w:rsidRPr="004B5653" w:rsidRDefault="00F40212" w:rsidP="00F40212">
      <w:pPr>
        <w:widowControl w:val="0"/>
        <w:pBdr>
          <w:top w:val="nil"/>
          <w:left w:val="nil"/>
          <w:bottom w:val="nil"/>
          <w:right w:val="nil"/>
          <w:between w:val="nil"/>
        </w:pBdr>
        <w:spacing w:before="120"/>
        <w:ind w:right="-8" w:firstLine="720"/>
        <w:jc w:val="both"/>
        <w:rPr>
          <w:rFonts w:eastAsia="Times"/>
          <w:color w:val="000000"/>
          <w:sz w:val="27"/>
          <w:szCs w:val="27"/>
        </w:rPr>
      </w:pPr>
      <w:r w:rsidRPr="004B5653">
        <w:rPr>
          <w:rFonts w:eastAsia="Times"/>
          <w:color w:val="000000"/>
          <w:sz w:val="27"/>
          <w:szCs w:val="27"/>
        </w:rPr>
        <w:t>- Huyện Cẩm Xuyên: 534.090.000 đồng;</w:t>
      </w:r>
    </w:p>
    <w:p w:rsidR="00F40212" w:rsidRPr="004B5653" w:rsidRDefault="00F40212" w:rsidP="00F40212">
      <w:pPr>
        <w:widowControl w:val="0"/>
        <w:pBdr>
          <w:top w:val="nil"/>
          <w:left w:val="nil"/>
          <w:bottom w:val="nil"/>
          <w:right w:val="nil"/>
          <w:between w:val="nil"/>
        </w:pBdr>
        <w:spacing w:before="120"/>
        <w:ind w:right="-8" w:firstLine="720"/>
        <w:jc w:val="both"/>
        <w:rPr>
          <w:rFonts w:eastAsia="Times"/>
          <w:color w:val="000000"/>
          <w:sz w:val="27"/>
          <w:szCs w:val="27"/>
        </w:rPr>
      </w:pPr>
      <w:r w:rsidRPr="004B5653">
        <w:rPr>
          <w:rFonts w:eastAsia="Times"/>
          <w:color w:val="000000"/>
          <w:sz w:val="27"/>
          <w:szCs w:val="27"/>
        </w:rPr>
        <w:t>- Huyện Thạch Hà: 64.734.000 đồng;</w:t>
      </w:r>
    </w:p>
    <w:p w:rsidR="00F40212" w:rsidRPr="004B5653" w:rsidRDefault="00F40212" w:rsidP="00F40212">
      <w:pPr>
        <w:widowControl w:val="0"/>
        <w:pBdr>
          <w:top w:val="nil"/>
          <w:left w:val="nil"/>
          <w:bottom w:val="nil"/>
          <w:right w:val="nil"/>
          <w:between w:val="nil"/>
        </w:pBdr>
        <w:spacing w:before="120"/>
        <w:ind w:right="-8" w:firstLine="720"/>
        <w:jc w:val="both"/>
        <w:rPr>
          <w:spacing w:val="-2"/>
          <w:sz w:val="27"/>
          <w:szCs w:val="27"/>
        </w:rPr>
      </w:pPr>
      <w:r w:rsidRPr="004B5653">
        <w:rPr>
          <w:rFonts w:eastAsia="Times"/>
          <w:color w:val="000000"/>
          <w:sz w:val="27"/>
          <w:szCs w:val="27"/>
        </w:rPr>
        <w:t>- Thành phố Hà Tĩnh: 81.096.000 đồng.</w:t>
      </w:r>
    </w:p>
    <w:p w:rsidR="00F40212" w:rsidRPr="004B5653" w:rsidRDefault="00F40212" w:rsidP="00F40212">
      <w:pPr>
        <w:widowControl w:val="0"/>
        <w:pBdr>
          <w:top w:val="nil"/>
          <w:left w:val="nil"/>
          <w:bottom w:val="nil"/>
          <w:right w:val="nil"/>
          <w:between w:val="nil"/>
        </w:pBdr>
        <w:spacing w:before="120"/>
        <w:ind w:right="-8" w:firstLine="720"/>
        <w:jc w:val="both"/>
        <w:rPr>
          <w:rFonts w:eastAsia="Times"/>
          <w:sz w:val="27"/>
          <w:szCs w:val="27"/>
        </w:rPr>
      </w:pPr>
      <w:r w:rsidRPr="004B5653">
        <w:rPr>
          <w:spacing w:val="-2"/>
          <w:sz w:val="27"/>
          <w:szCs w:val="27"/>
        </w:rPr>
        <w:t>Nguồn kinh phí hỗ trợ: t</w:t>
      </w:r>
      <w:r w:rsidRPr="004B5653">
        <w:rPr>
          <w:sz w:val="27"/>
          <w:szCs w:val="27"/>
        </w:rPr>
        <w:t>ừ nguồn chính sách nông nghiệp nông thôn (được bố trí dự toán tại mục 11 phần II Phụ lục số 02 ban hành kèm theo Quyết định số 2726/QĐ-UBND ngày 30/12/2022 của UBND tỉnh; được UBND tỉnh giao Kế hoạch kinh phí thực hiện chính sách khuyến khích phát triển nông nghiệp, nông thôn gắn với xây dựng tỉnh đạt chuẩn nông thôn mới năm 2023 tại Quyết định số 1083/QĐ-UBND ngày 16/5/2023) và được tỉnh cấp kinh phí tại Quyết định số 2685/QĐ-UBND ngày 16/10/2023 của UBND tỉnh.</w:t>
      </w:r>
    </w:p>
    <w:p w:rsidR="00F40212" w:rsidRPr="004B5653" w:rsidRDefault="00F40212" w:rsidP="00F40212">
      <w:pPr>
        <w:widowControl w:val="0"/>
        <w:pBdr>
          <w:top w:val="nil"/>
          <w:left w:val="nil"/>
          <w:bottom w:val="nil"/>
          <w:right w:val="nil"/>
          <w:between w:val="nil"/>
        </w:pBdr>
        <w:spacing w:before="120"/>
        <w:ind w:left="12" w:right="-8" w:firstLine="719"/>
        <w:rPr>
          <w:rFonts w:ascii="Times" w:eastAsia="Times" w:hAnsi="Times" w:cs="Times"/>
          <w:sz w:val="27"/>
          <w:szCs w:val="27"/>
        </w:rPr>
      </w:pPr>
      <w:proofErr w:type="gramStart"/>
      <w:r w:rsidRPr="004B5653">
        <w:rPr>
          <w:rFonts w:ascii="Times" w:eastAsia="Times" w:hAnsi="Times" w:cs="Times"/>
          <w:b/>
          <w:sz w:val="27"/>
          <w:szCs w:val="27"/>
        </w:rPr>
        <w:t>Điều 2.</w:t>
      </w:r>
      <w:proofErr w:type="gramEnd"/>
      <w:r w:rsidRPr="004B5653">
        <w:rPr>
          <w:rFonts w:ascii="Times" w:eastAsia="Times" w:hAnsi="Times" w:cs="Times"/>
          <w:b/>
          <w:sz w:val="27"/>
          <w:szCs w:val="27"/>
        </w:rPr>
        <w:t xml:space="preserve"> </w:t>
      </w:r>
      <w:r w:rsidRPr="004B5653">
        <w:rPr>
          <w:rFonts w:ascii="Times" w:eastAsia="Times" w:hAnsi="Times" w:cs="Times"/>
          <w:sz w:val="27"/>
          <w:szCs w:val="27"/>
        </w:rPr>
        <w:t xml:space="preserve">Giao nhiệm vụ thực hiện: </w:t>
      </w:r>
    </w:p>
    <w:p w:rsidR="00F40212" w:rsidRPr="004B5653" w:rsidRDefault="00F40212" w:rsidP="00F40212">
      <w:pPr>
        <w:spacing w:before="120"/>
        <w:ind w:firstLine="720"/>
        <w:jc w:val="both"/>
        <w:rPr>
          <w:sz w:val="27"/>
          <w:szCs w:val="27"/>
        </w:rPr>
      </w:pPr>
      <w:r w:rsidRPr="004B5653">
        <w:rPr>
          <w:sz w:val="27"/>
          <w:szCs w:val="27"/>
        </w:rPr>
        <w:t xml:space="preserve">1. </w:t>
      </w:r>
      <w:r w:rsidRPr="004B5653">
        <w:rPr>
          <w:sz w:val="27"/>
          <w:szCs w:val="27"/>
          <w:lang w:val="nl-NL"/>
        </w:rPr>
        <w:t>Sở Tài chính:</w:t>
      </w:r>
      <w:r w:rsidRPr="004B5653">
        <w:rPr>
          <w:sz w:val="27"/>
          <w:szCs w:val="27"/>
        </w:rPr>
        <w:t xml:space="preserve"> phối hợp với Kho bạc Nhà nước tỉnh và các cơ quan liên quan thực hiện thông báo cấp phát kinh phí hỗ trợ </w:t>
      </w:r>
      <w:proofErr w:type="gramStart"/>
      <w:r w:rsidRPr="004B5653">
        <w:rPr>
          <w:sz w:val="27"/>
          <w:szCs w:val="27"/>
        </w:rPr>
        <w:t>theo</w:t>
      </w:r>
      <w:proofErr w:type="gramEnd"/>
      <w:r w:rsidRPr="004B5653">
        <w:rPr>
          <w:sz w:val="27"/>
          <w:szCs w:val="27"/>
        </w:rPr>
        <w:t xml:space="preserve"> quy định.</w:t>
      </w:r>
    </w:p>
    <w:p w:rsidR="00F40212" w:rsidRPr="004B5653" w:rsidRDefault="00F40212" w:rsidP="00F40212">
      <w:pPr>
        <w:spacing w:before="120"/>
        <w:ind w:firstLine="720"/>
        <w:jc w:val="both"/>
        <w:rPr>
          <w:sz w:val="27"/>
          <w:szCs w:val="27"/>
        </w:rPr>
      </w:pPr>
      <w:r w:rsidRPr="004B5653">
        <w:rPr>
          <w:sz w:val="27"/>
          <w:szCs w:val="27"/>
        </w:rPr>
        <w:t>2. Kho bạc Nhà nước tỉnh: phối hợp với các địa phương, đơn vị liên quan thực hiện giải ngân nguồn kinh phí kịp thời, đúng quy định hiện hành.</w:t>
      </w:r>
    </w:p>
    <w:p w:rsidR="00F40212" w:rsidRPr="004B5653" w:rsidRDefault="00F40212" w:rsidP="00F40212">
      <w:pPr>
        <w:spacing w:before="120"/>
        <w:ind w:firstLine="720"/>
        <w:jc w:val="both"/>
        <w:rPr>
          <w:spacing w:val="3"/>
          <w:sz w:val="27"/>
          <w:szCs w:val="27"/>
          <w:shd w:val="clear" w:color="auto" w:fill="FFFFFF"/>
        </w:rPr>
      </w:pPr>
      <w:r w:rsidRPr="004B5653">
        <w:rPr>
          <w:rFonts w:ascii="Times" w:eastAsia="Times" w:hAnsi="Times" w:cs="Times"/>
          <w:sz w:val="27"/>
          <w:szCs w:val="27"/>
        </w:rPr>
        <w:t xml:space="preserve">3. </w:t>
      </w:r>
      <w:r w:rsidRPr="004B5653">
        <w:rPr>
          <w:sz w:val="27"/>
          <w:szCs w:val="27"/>
        </w:rPr>
        <w:t>Trong mọi trường hợp, Sở Tài chính, Sở Tài nguyên và Môi trường, Kho bạc Nhà nước tỉnh, UBND các huyện, thành phố liên quan theo chức năng, nhiệm vụ phải chịu hoàn toàn trách nhiệm trước pháp luật, trước UBND tỉnh và Chủ tịch UBND tỉnh</w:t>
      </w:r>
      <w:r w:rsidRPr="004B5653">
        <w:rPr>
          <w:spacing w:val="3"/>
          <w:sz w:val="27"/>
          <w:szCs w:val="27"/>
          <w:shd w:val="clear" w:color="auto" w:fill="FFFFFF"/>
        </w:rPr>
        <w:t>, các cơ quan thanh tra, kiểm toán về tính chính xác của nội dung, khối lượng, kinh phí thực hiện, kinh phí hỗ trợ cũng như tính hợp pháp của hồ sơ đề xuất hỗ trợ.</w:t>
      </w:r>
    </w:p>
    <w:p w:rsidR="00F40212" w:rsidRPr="004B5653" w:rsidRDefault="00F40212" w:rsidP="00F40212">
      <w:pPr>
        <w:widowControl w:val="0"/>
        <w:pBdr>
          <w:top w:val="nil"/>
          <w:left w:val="nil"/>
          <w:bottom w:val="nil"/>
          <w:right w:val="nil"/>
          <w:between w:val="nil"/>
        </w:pBdr>
        <w:spacing w:before="120"/>
        <w:ind w:left="732"/>
        <w:rPr>
          <w:rFonts w:ascii="Times" w:eastAsia="Times" w:hAnsi="Times" w:cs="Times"/>
          <w:color w:val="000000"/>
          <w:sz w:val="27"/>
          <w:szCs w:val="27"/>
        </w:rPr>
      </w:pPr>
      <w:proofErr w:type="gramStart"/>
      <w:r w:rsidRPr="004B5653">
        <w:rPr>
          <w:rFonts w:ascii="Times" w:eastAsia="Times" w:hAnsi="Times" w:cs="Times"/>
          <w:b/>
          <w:color w:val="000000"/>
          <w:sz w:val="27"/>
          <w:szCs w:val="27"/>
        </w:rPr>
        <w:t>Điều 3.</w:t>
      </w:r>
      <w:proofErr w:type="gramEnd"/>
      <w:r w:rsidRPr="004B5653">
        <w:rPr>
          <w:rFonts w:ascii="Times" w:eastAsia="Times" w:hAnsi="Times" w:cs="Times"/>
          <w:b/>
          <w:color w:val="000000"/>
          <w:sz w:val="27"/>
          <w:szCs w:val="27"/>
        </w:rPr>
        <w:t xml:space="preserve"> </w:t>
      </w:r>
      <w:r w:rsidRPr="004B5653">
        <w:rPr>
          <w:rFonts w:ascii="Times" w:eastAsia="Times" w:hAnsi="Times" w:cs="Times"/>
          <w:color w:val="000000"/>
          <w:sz w:val="27"/>
          <w:szCs w:val="27"/>
        </w:rPr>
        <w:t>Quyết định này có hiệu lực kể từ ngày ban hành;</w:t>
      </w:r>
    </w:p>
    <w:p w:rsidR="00F40212" w:rsidRPr="004B5653" w:rsidRDefault="00F40212" w:rsidP="00F40212">
      <w:pPr>
        <w:spacing w:before="120"/>
        <w:ind w:firstLine="720"/>
        <w:jc w:val="both"/>
        <w:rPr>
          <w:b/>
          <w:sz w:val="27"/>
          <w:szCs w:val="27"/>
        </w:rPr>
      </w:pPr>
      <w:r w:rsidRPr="004B5653">
        <w:rPr>
          <w:rFonts w:ascii="Times" w:eastAsia="Times" w:hAnsi="Times" w:cs="Times"/>
          <w:color w:val="000000"/>
          <w:sz w:val="27"/>
          <w:szCs w:val="27"/>
        </w:rPr>
        <w:t>Chánh Văn phòng UBND tỉnh; Giám đốc các Sở, ngành: Tài chính, Tài nguyên và Môi trường, Kho bạc Nhà nước tỉnh; Chủ tị</w:t>
      </w:r>
      <w:r w:rsidR="005A4C24">
        <w:rPr>
          <w:rFonts w:ascii="Times" w:eastAsia="Times" w:hAnsi="Times" w:cs="Times"/>
          <w:color w:val="000000"/>
          <w:sz w:val="27"/>
          <w:szCs w:val="27"/>
        </w:rPr>
        <w:t>ch UBND:</w:t>
      </w:r>
      <w:r w:rsidRPr="004B5653">
        <w:rPr>
          <w:rFonts w:ascii="Times" w:eastAsia="Times" w:hAnsi="Times" w:cs="Times"/>
          <w:color w:val="000000"/>
          <w:sz w:val="27"/>
          <w:szCs w:val="27"/>
        </w:rPr>
        <w:t xml:space="preserve"> các huyện: Can Lộc, Cẩm Xuyên, Thạch Hà; thành phố Hà Tĩnh</w:t>
      </w:r>
      <w:r w:rsidR="005A4C24">
        <w:rPr>
          <w:rFonts w:ascii="Times" w:eastAsia="Times" w:hAnsi="Times" w:cs="Times"/>
          <w:color w:val="000000"/>
          <w:sz w:val="27"/>
          <w:szCs w:val="27"/>
        </w:rPr>
        <w:t xml:space="preserve"> và </w:t>
      </w:r>
      <w:r w:rsidRPr="004B5653">
        <w:rPr>
          <w:spacing w:val="-2"/>
          <w:sz w:val="27"/>
          <w:szCs w:val="27"/>
        </w:rPr>
        <w:t>tổ chức, cá nhân có liên quan</w:t>
      </w:r>
      <w:r w:rsidRPr="004B5653">
        <w:rPr>
          <w:rFonts w:ascii="Times" w:eastAsia="Times" w:hAnsi="Times" w:cs="Times"/>
          <w:color w:val="000000"/>
          <w:sz w:val="27"/>
          <w:szCs w:val="27"/>
        </w:rPr>
        <w:t xml:space="preserve"> chịu trách nhiệm thi hành Quyết định này./.</w:t>
      </w:r>
    </w:p>
    <w:p w:rsidR="00F40212" w:rsidRDefault="00F40212" w:rsidP="00F40212">
      <w:pPr>
        <w:rPr>
          <w:sz w:val="20"/>
          <w:szCs w:val="20"/>
        </w:rPr>
      </w:pPr>
    </w:p>
    <w:tbl>
      <w:tblPr>
        <w:tblW w:w="8990" w:type="dxa"/>
        <w:tblLook w:val="01E0" w:firstRow="1" w:lastRow="1" w:firstColumn="1" w:lastColumn="1" w:noHBand="0" w:noVBand="0"/>
      </w:tblPr>
      <w:tblGrid>
        <w:gridCol w:w="5070"/>
        <w:gridCol w:w="3920"/>
      </w:tblGrid>
      <w:tr w:rsidR="00F40212" w:rsidTr="006B7B4F">
        <w:tc>
          <w:tcPr>
            <w:tcW w:w="5070" w:type="dxa"/>
          </w:tcPr>
          <w:p w:rsidR="00F40212" w:rsidRDefault="00F40212" w:rsidP="006B7B4F">
            <w:pPr>
              <w:rPr>
                <w:b/>
                <w:i/>
                <w:sz w:val="24"/>
              </w:rPr>
            </w:pPr>
            <w:r>
              <w:rPr>
                <w:b/>
                <w:i/>
                <w:sz w:val="24"/>
              </w:rPr>
              <w:t>Nơi nhận:</w:t>
            </w:r>
          </w:p>
          <w:p w:rsidR="00F40212" w:rsidRDefault="00F40212" w:rsidP="006B7B4F">
            <w:pPr>
              <w:ind w:right="448"/>
              <w:jc w:val="both"/>
              <w:rPr>
                <w:sz w:val="22"/>
                <w:szCs w:val="22"/>
              </w:rPr>
            </w:pPr>
            <w:r>
              <w:rPr>
                <w:sz w:val="22"/>
                <w:szCs w:val="22"/>
              </w:rPr>
              <w:t>- Như Điều 3;</w:t>
            </w:r>
          </w:p>
          <w:p w:rsidR="00F40212" w:rsidRDefault="00F40212" w:rsidP="006B7B4F">
            <w:pPr>
              <w:ind w:right="448"/>
              <w:jc w:val="both"/>
              <w:rPr>
                <w:sz w:val="22"/>
                <w:szCs w:val="22"/>
              </w:rPr>
            </w:pPr>
            <w:r>
              <w:rPr>
                <w:sz w:val="22"/>
                <w:szCs w:val="22"/>
              </w:rPr>
              <w:t>- Chủ tịch, các PCT UBND tỉnh;</w:t>
            </w:r>
          </w:p>
          <w:p w:rsidR="00F40212" w:rsidRDefault="00F40212" w:rsidP="006B7B4F">
            <w:pPr>
              <w:ind w:right="448"/>
              <w:jc w:val="both"/>
              <w:rPr>
                <w:sz w:val="22"/>
                <w:szCs w:val="22"/>
              </w:rPr>
            </w:pPr>
            <w:r>
              <w:rPr>
                <w:sz w:val="22"/>
                <w:szCs w:val="22"/>
              </w:rPr>
              <w:t>- Các PCVP UBND tỉnh;</w:t>
            </w:r>
          </w:p>
          <w:p w:rsidR="00F40212" w:rsidRDefault="00F40212" w:rsidP="006B7B4F">
            <w:pPr>
              <w:ind w:right="448"/>
              <w:jc w:val="both"/>
              <w:rPr>
                <w:sz w:val="22"/>
                <w:szCs w:val="22"/>
              </w:rPr>
            </w:pPr>
            <w:r>
              <w:rPr>
                <w:sz w:val="22"/>
                <w:szCs w:val="22"/>
              </w:rPr>
              <w:t>- Trung tâm CB-TH</w:t>
            </w:r>
            <w:r w:rsidR="004B5653">
              <w:rPr>
                <w:sz w:val="22"/>
                <w:szCs w:val="22"/>
              </w:rPr>
              <w:t xml:space="preserve"> tỉnh</w:t>
            </w:r>
            <w:r>
              <w:rPr>
                <w:sz w:val="22"/>
                <w:szCs w:val="22"/>
              </w:rPr>
              <w:t>;</w:t>
            </w:r>
          </w:p>
          <w:p w:rsidR="00F40212" w:rsidRDefault="00F40212" w:rsidP="006B7B4F">
            <w:pPr>
              <w:ind w:right="448"/>
              <w:jc w:val="both"/>
            </w:pPr>
            <w:r>
              <w:rPr>
                <w:sz w:val="22"/>
                <w:szCs w:val="22"/>
              </w:rPr>
              <w:t>- Lưu VT, TH, NL</w:t>
            </w:r>
            <w:r>
              <w:rPr>
                <w:sz w:val="22"/>
                <w:szCs w:val="22"/>
                <w:vertAlign w:val="subscript"/>
              </w:rPr>
              <w:t>5</w:t>
            </w:r>
            <w:r>
              <w:rPr>
                <w:sz w:val="22"/>
                <w:szCs w:val="22"/>
              </w:rPr>
              <w:t>.</w:t>
            </w:r>
          </w:p>
        </w:tc>
        <w:tc>
          <w:tcPr>
            <w:tcW w:w="3920" w:type="dxa"/>
          </w:tcPr>
          <w:p w:rsidR="00F40212" w:rsidRDefault="00F40212" w:rsidP="006B7B4F">
            <w:pPr>
              <w:jc w:val="center"/>
              <w:rPr>
                <w:b/>
                <w:sz w:val="24"/>
                <w:szCs w:val="26"/>
              </w:rPr>
            </w:pPr>
            <w:r w:rsidRPr="000A674E">
              <w:rPr>
                <w:rFonts w:eastAsia="Times"/>
                <w:b/>
                <w:color w:val="000000"/>
                <w:sz w:val="26"/>
              </w:rPr>
              <w:t>TM. ỦY BAN NHÂN DÂN</w:t>
            </w:r>
          </w:p>
          <w:p w:rsidR="00F40212" w:rsidRPr="000A674E" w:rsidRDefault="00F40212" w:rsidP="006B7B4F">
            <w:pPr>
              <w:jc w:val="center"/>
              <w:rPr>
                <w:b/>
                <w:sz w:val="24"/>
                <w:szCs w:val="26"/>
              </w:rPr>
            </w:pPr>
            <w:r w:rsidRPr="000A674E">
              <w:rPr>
                <w:b/>
                <w:sz w:val="26"/>
                <w:szCs w:val="26"/>
              </w:rPr>
              <w:t>CHỦ TỊCH</w:t>
            </w:r>
          </w:p>
          <w:p w:rsidR="00F40212" w:rsidRDefault="00F40212" w:rsidP="006B7B4F">
            <w:pPr>
              <w:jc w:val="center"/>
              <w:rPr>
                <w:b/>
                <w:sz w:val="26"/>
                <w:szCs w:val="26"/>
              </w:rPr>
            </w:pPr>
          </w:p>
          <w:p w:rsidR="00F40212" w:rsidRDefault="00F40212" w:rsidP="006B7B4F">
            <w:pPr>
              <w:jc w:val="center"/>
              <w:rPr>
                <w:b/>
                <w:sz w:val="26"/>
                <w:szCs w:val="26"/>
              </w:rPr>
            </w:pPr>
          </w:p>
          <w:p w:rsidR="00F40212" w:rsidRDefault="00F40212" w:rsidP="006B7B4F">
            <w:pPr>
              <w:jc w:val="center"/>
              <w:rPr>
                <w:b/>
                <w:sz w:val="26"/>
                <w:szCs w:val="26"/>
              </w:rPr>
            </w:pPr>
          </w:p>
          <w:p w:rsidR="00F40212" w:rsidRDefault="00F40212" w:rsidP="006B7B4F">
            <w:pPr>
              <w:jc w:val="center"/>
              <w:rPr>
                <w:b/>
                <w:sz w:val="26"/>
                <w:szCs w:val="26"/>
              </w:rPr>
            </w:pPr>
          </w:p>
          <w:p w:rsidR="00F40212" w:rsidRDefault="00F40212" w:rsidP="006B7B4F">
            <w:pPr>
              <w:jc w:val="center"/>
              <w:rPr>
                <w:b/>
                <w:sz w:val="26"/>
                <w:szCs w:val="26"/>
              </w:rPr>
            </w:pPr>
          </w:p>
          <w:p w:rsidR="00F40212" w:rsidRPr="000A674E" w:rsidRDefault="00F40212" w:rsidP="006B7B4F">
            <w:pPr>
              <w:jc w:val="center"/>
              <w:rPr>
                <w:b/>
                <w:sz w:val="2"/>
                <w:szCs w:val="26"/>
              </w:rPr>
            </w:pPr>
          </w:p>
          <w:p w:rsidR="00F40212" w:rsidRDefault="00F40212" w:rsidP="006B7B4F">
            <w:pPr>
              <w:jc w:val="center"/>
              <w:rPr>
                <w:b/>
                <w:sz w:val="26"/>
                <w:szCs w:val="26"/>
              </w:rPr>
            </w:pPr>
          </w:p>
          <w:p w:rsidR="00F40212" w:rsidRDefault="00F40212" w:rsidP="006B7B4F">
            <w:pPr>
              <w:jc w:val="center"/>
              <w:rPr>
                <w:b/>
                <w:sz w:val="26"/>
                <w:szCs w:val="26"/>
              </w:rPr>
            </w:pPr>
          </w:p>
          <w:p w:rsidR="00F40212" w:rsidRDefault="00F40212" w:rsidP="006B7B4F">
            <w:pPr>
              <w:jc w:val="center"/>
              <w:rPr>
                <w:b/>
              </w:rPr>
            </w:pPr>
            <w:r>
              <w:rPr>
                <w:b/>
              </w:rPr>
              <w:t xml:space="preserve">     Võ Trọng Hải</w:t>
            </w:r>
          </w:p>
        </w:tc>
      </w:tr>
    </w:tbl>
    <w:p w:rsidR="00F40212" w:rsidRDefault="00F40212" w:rsidP="00F40212">
      <w:pPr>
        <w:rPr>
          <w:sz w:val="16"/>
          <w:szCs w:val="16"/>
        </w:rPr>
      </w:pPr>
    </w:p>
    <w:p w:rsidR="00F40212" w:rsidRPr="00D76F33" w:rsidRDefault="00F40212" w:rsidP="00F40212"/>
    <w:p w:rsidR="00A12E6B" w:rsidRPr="00F40212" w:rsidRDefault="00A12E6B" w:rsidP="00F40212"/>
    <w:sectPr w:rsidR="00A12E6B" w:rsidRPr="00F40212">
      <w:headerReference w:type="even" r:id="rId8"/>
      <w:headerReference w:type="default" r:id="rId9"/>
      <w:footerReference w:type="even"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94" w:rsidRDefault="002E2C94">
      <w:r>
        <w:separator/>
      </w:r>
    </w:p>
  </w:endnote>
  <w:endnote w:type="continuationSeparator" w:id="0">
    <w:p w:rsidR="002E2C94" w:rsidRDefault="002E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6B" w:rsidRDefault="00C54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E6B" w:rsidRDefault="00A1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94" w:rsidRDefault="002E2C94">
      <w:r>
        <w:separator/>
      </w:r>
    </w:p>
  </w:footnote>
  <w:footnote w:type="continuationSeparator" w:id="0">
    <w:p w:rsidR="002E2C94" w:rsidRDefault="002E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6B" w:rsidRDefault="00C54A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E6B" w:rsidRDefault="00A12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6B" w:rsidRDefault="00C54A05">
    <w:pPr>
      <w:pStyle w:val="Head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D0E71">
      <w:rPr>
        <w:rStyle w:val="PageNumber"/>
        <w:noProof/>
        <w:sz w:val="24"/>
        <w:szCs w:val="24"/>
      </w:rPr>
      <w:t>2</w:t>
    </w:r>
    <w:r>
      <w:rPr>
        <w:rStyle w:val="PageNumber"/>
        <w:sz w:val="24"/>
        <w:szCs w:val="24"/>
      </w:rPr>
      <w:fldChar w:fldCharType="end"/>
    </w:r>
  </w:p>
  <w:p w:rsidR="00A12E6B" w:rsidRDefault="00A12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F0834"/>
    <w:multiLevelType w:val="hybridMultilevel"/>
    <w:tmpl w:val="C62AE886"/>
    <w:lvl w:ilvl="0" w:tplc="8872FCD2">
      <w:numFmt w:val="bullet"/>
      <w:lvlText w:val="-"/>
      <w:lvlJc w:val="left"/>
      <w:pPr>
        <w:ind w:left="1091" w:hanging="360"/>
      </w:pPr>
      <w:rPr>
        <w:rFonts w:ascii="Times New Roman" w:eastAsia="Times New Roman" w:hAnsi="Times New Roman" w:cs="Times New Roman"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
    <w:nsid w:val="6CE8431D"/>
    <w:multiLevelType w:val="hybridMultilevel"/>
    <w:tmpl w:val="894E148E"/>
    <w:lvl w:ilvl="0" w:tplc="6D2A79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6B"/>
    <w:rsid w:val="000505DA"/>
    <w:rsid w:val="00115BF9"/>
    <w:rsid w:val="002330FB"/>
    <w:rsid w:val="0025680E"/>
    <w:rsid w:val="002E2C94"/>
    <w:rsid w:val="003418E1"/>
    <w:rsid w:val="004B5653"/>
    <w:rsid w:val="005A4C24"/>
    <w:rsid w:val="00705AC1"/>
    <w:rsid w:val="00917F20"/>
    <w:rsid w:val="00961672"/>
    <w:rsid w:val="00A12E6B"/>
    <w:rsid w:val="00A63C6A"/>
    <w:rsid w:val="00C54A05"/>
    <w:rsid w:val="00D5573C"/>
    <w:rsid w:val="00D76F33"/>
    <w:rsid w:val="00DD0E71"/>
    <w:rsid w:val="00F4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uiPriority w:val="99"/>
    <w:rPr>
      <w:rFonts w:ascii=".VnTimeH" w:hAnsi=".VnTimeH"/>
      <w:sz w:val="26"/>
      <w:szCs w:val="26"/>
    </w:rPr>
  </w:style>
  <w:style w:type="character" w:customStyle="1" w:styleId="BodyTextChar">
    <w:name w:val="Body Text Char"/>
    <w:basedOn w:val="DefaultParagraphFont"/>
    <w:link w:val="BodyText"/>
    <w:uiPriority w:val="99"/>
    <w:rPr>
      <w:rFonts w:ascii=".VnTimeH" w:hAnsi=".VnTimeH"/>
      <w:sz w:val="26"/>
      <w:szCs w:val="26"/>
    </w:rPr>
  </w:style>
  <w:style w:type="paragraph" w:styleId="ListParagraph">
    <w:name w:val="List Paragraph"/>
    <w:basedOn w:val="Normal"/>
    <w:uiPriority w:val="34"/>
    <w:qFormat/>
    <w:pPr>
      <w:ind w:left="720"/>
      <w:contextualSpacing/>
    </w:p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uiPriority w:val="99"/>
    <w:rPr>
      <w:rFonts w:ascii=".VnTimeH" w:hAnsi=".VnTimeH"/>
      <w:sz w:val="26"/>
      <w:szCs w:val="26"/>
    </w:rPr>
  </w:style>
  <w:style w:type="character" w:customStyle="1" w:styleId="BodyTextChar">
    <w:name w:val="Body Text Char"/>
    <w:basedOn w:val="DefaultParagraphFont"/>
    <w:link w:val="BodyText"/>
    <w:uiPriority w:val="99"/>
    <w:rPr>
      <w:rFonts w:ascii=".VnTimeH" w:hAnsi=".VnTimeH"/>
      <w:sz w:val="26"/>
      <w:szCs w:val="26"/>
    </w:rPr>
  </w:style>
  <w:style w:type="paragraph" w:styleId="ListParagraph">
    <w:name w:val="List Paragraph"/>
    <w:basedOn w:val="Normal"/>
    <w:uiPriority w:val="34"/>
    <w:qFormat/>
    <w:pPr>
      <w:ind w:left="720"/>
      <w:contextualSpacing/>
    </w:p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11</cp:revision>
  <cp:lastPrinted>2023-12-07T08:59:00Z</cp:lastPrinted>
  <dcterms:created xsi:type="dcterms:W3CDTF">2023-12-06T03:49:00Z</dcterms:created>
  <dcterms:modified xsi:type="dcterms:W3CDTF">2023-12-07T10:40:00Z</dcterms:modified>
</cp:coreProperties>
</file>