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2" w:type="dxa"/>
        <w:jc w:val="center"/>
        <w:tblInd w:w="7455" w:type="dxa"/>
        <w:tblLook w:val="04A0" w:firstRow="1" w:lastRow="0" w:firstColumn="1" w:lastColumn="0" w:noHBand="0" w:noVBand="1"/>
      </w:tblPr>
      <w:tblGrid>
        <w:gridCol w:w="3557"/>
        <w:gridCol w:w="6005"/>
      </w:tblGrid>
      <w:tr w:rsidR="00423F37">
        <w:trPr>
          <w:jc w:val="center"/>
        </w:trPr>
        <w:tc>
          <w:tcPr>
            <w:tcW w:w="3557" w:type="dxa"/>
            <w:shd w:val="clear" w:color="auto" w:fill="auto"/>
          </w:tcPr>
          <w:p w:rsidR="00423F37" w:rsidRDefault="005970AC">
            <w:pPr>
              <w:spacing w:after="0" w:line="240" w:lineRule="auto"/>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7968" behindDoc="0" locked="0" layoutInCell="1" allowOverlap="1">
                      <wp:simplePos x="0" y="0"/>
                      <wp:positionH relativeFrom="column">
                        <wp:posOffset>658495</wp:posOffset>
                      </wp:positionH>
                      <wp:positionV relativeFrom="paragraph">
                        <wp:posOffset>398145</wp:posOffset>
                      </wp:positionV>
                      <wp:extent cx="85725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1.85pt;margin-top:31.35pt;width:6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RP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Pp42Q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"/>
                  </w:pict>
                </mc:Fallback>
              </mc:AlternateContent>
            </w:r>
            <w:r>
              <w:rPr>
                <w:b/>
                <w:color w:val="000000" w:themeColor="text1"/>
                <w:sz w:val="26"/>
                <w:szCs w:val="26"/>
              </w:rPr>
              <w:t>ỦY BAN NHÂN DÂN</w:t>
            </w:r>
            <w:r>
              <w:rPr>
                <w:b/>
                <w:color w:val="000000" w:themeColor="text1"/>
                <w:sz w:val="26"/>
                <w:szCs w:val="26"/>
              </w:rPr>
              <w:br/>
            </w:r>
            <w:r>
              <w:rPr>
                <w:b/>
                <w:color w:val="000000" w:themeColor="text1"/>
                <w:spacing w:val="-8"/>
                <w:sz w:val="26"/>
                <w:szCs w:val="26"/>
              </w:rPr>
              <w:t>HUYỆN CẨM XUYÊN</w:t>
            </w:r>
          </w:p>
        </w:tc>
        <w:tc>
          <w:tcPr>
            <w:tcW w:w="6005" w:type="dxa"/>
            <w:shd w:val="clear" w:color="auto" w:fill="auto"/>
          </w:tcPr>
          <w:p w:rsidR="00423F37" w:rsidRDefault="005970AC">
            <w:pPr>
              <w:spacing w:after="240" w:line="240" w:lineRule="auto"/>
              <w:jc w:val="center"/>
              <w:rPr>
                <w:b/>
                <w:color w:val="000000" w:themeColor="text1"/>
                <w:sz w:val="24"/>
                <w:szCs w:val="24"/>
              </w:rPr>
            </w:pPr>
            <w:r>
              <w:rPr>
                <w:noProof/>
                <w:color w:val="000000" w:themeColor="text1"/>
                <w:spacing w:val="-8"/>
                <w:sz w:val="26"/>
                <w:szCs w:val="26"/>
              </w:rPr>
              <mc:AlternateContent>
                <mc:Choice Requires="wps">
                  <w:drawing>
                    <wp:anchor distT="4294967295" distB="4294967295" distL="114300" distR="114300" simplePos="0" relativeHeight="251662848" behindDoc="0" locked="0" layoutInCell="1" allowOverlap="1">
                      <wp:simplePos x="0" y="0"/>
                      <wp:positionH relativeFrom="column">
                        <wp:posOffset>806450</wp:posOffset>
                      </wp:positionH>
                      <wp:positionV relativeFrom="paragraph">
                        <wp:posOffset>397510</wp:posOffset>
                      </wp:positionV>
                      <wp:extent cx="2085975" cy="0"/>
                      <wp:effectExtent l="0" t="0" r="952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31.3pt" to="227.75pt,31.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IQTEIwIAAEEEAAAOAAAAZHJzL2Uyb0RvYy54bWysU8uu2jAQ3VfqP1jeQx4FLkSEqyqBbm5b JG4/wNhOYtWxLdsQUNV/79g8xG03VVUWZmzPnJw5c7x8PvUSHbl1QqsSZ+MUI66oZkK1Jf72uhnN MXKeKEakVrzEZ+7w8+r9u+VgCp7rTkvGLQIQ5YrBlLjz3hRJ4mjHe+LG2nAFl422PfGwtW3CLBkA vZdJnqazZNCWGaspdw5O68slXkX8puHUf20axz2SJQZuPq42rvuwJqslKVpLTCfolQb5BxY9EQo+ eoeqiSfoYMUfUL2gVjvd+DHVfaKbRlAee4BusvS3bnYdMTz2AuI4c5fJ/T9Y+uW4tUgwmB1GivQw op23RLSdR5VWCgTUFuVBp8G4AtIrtbWhU3pSO/Oi6XeHlK46oloe+b6eDYBkoSJ5UxI2zsDX9sNn zSCHHLyOop0a2wdIkAOd4mzO99nwk0cUDvN0Pl08TTGit7uEFLdCY53/xHWPQlBiKVSQjRTk+OJ8 IEKKW0o4VnojpIyjlwoNJV5Mc0AmsgUPU29jrdNSsJAXKpxt95W06EiCj+IvNgg3j2lWHxSLuB0n bH2NPRHyEgMPqQIedAXMrtHFKD8W6WI9X88no0k+W48maV2PPm6qyWi2yZ6m9Ye6qursZ6CWTYpO MMZVYHczbTb5O1Ncn8/Fbnfb3hVJ3qJH6YDs7T+SjmMNk7x4Yq/ZeWtv4wafxuTrmwoP4XEP8ePL X/0CAAD//wMAUEsDBBQABgAIAAAAIQDbOYCM3QAAAAkBAAAPAAAAZHJzL2Rvd25yZXYueG1sTI/B TsMwEETvSPyDtUhcKuoQSEAhToWA3LhQQFy38ZJExOs0dtvA17OIAxxndjT7plzNblB7mkLv2cD5 MgFF3Hjbc2vg5bk+uwYVIrLFwTMZ+KQAq+r4qMTC+gM/0X4dWyUlHAo00MU4FlqHpiOHYelHYrm9 +8lhFDm12k54kHI36DRJcu2wZ/nQ4Uh3HTUf650zEOpX2tZfi2aRvF20ntLt/eMDGnN6Mt/egIo0 x78w/OALOlTCtPE7tkENotMr2RIN5GkOSgKXWZaB2vwauir1/wXVNwAAAP//AwBQSwECLQAUAAYA CAAAACEAtoM4kv4AAADhAQAAEwAAAAAAAAAAAAAAAAAAAAAAW0NvbnRlbnRfVHlwZXNdLnhtbFBL AQItABQABgAIAAAAIQA4/SH/1gAAAJQBAAALAAAAAAAAAAAAAAAAAC8BAABfcmVscy8ucmVsc1BL AQItABQABgAIAAAAIQCiIQTEIwIAAEEEAAAOAAAAAAAAAAAAAAAAAC4CAABkcnMvZTJvRG9jLnht bFBLAQItABQABgAIAAAAIQDbOYCM3QAAAAkBAAAPAAAAAAAAAAAAAAAAAH0EAABkcnMvZG93bnJl di54bWxQSwUGAAAAAAQABADzAAAAhwUAAAAA "/>
                  </w:pict>
                </mc:Fallback>
              </mc:AlternateContent>
            </w:r>
            <w:r>
              <w:rPr>
                <w:b/>
                <w:color w:val="000000" w:themeColor="text1"/>
                <w:spacing w:val="-8"/>
                <w:sz w:val="26"/>
                <w:szCs w:val="26"/>
              </w:rPr>
              <w:t>CỘNG HÒA XÃ HỘI CHỦ NGHĨA VIỆT NAM</w:t>
            </w:r>
            <w:r>
              <w:rPr>
                <w:b/>
                <w:color w:val="000000" w:themeColor="text1"/>
                <w:sz w:val="24"/>
                <w:szCs w:val="24"/>
              </w:rPr>
              <w:br/>
            </w:r>
            <w:r>
              <w:rPr>
                <w:b/>
                <w:color w:val="000000" w:themeColor="text1"/>
                <w:szCs w:val="26"/>
              </w:rPr>
              <w:t>Độc lập - Tự do - Hạnh phúc</w:t>
            </w:r>
          </w:p>
        </w:tc>
      </w:tr>
      <w:tr w:rsidR="00423F37">
        <w:trPr>
          <w:jc w:val="center"/>
        </w:trPr>
        <w:tc>
          <w:tcPr>
            <w:tcW w:w="3557" w:type="dxa"/>
            <w:shd w:val="clear" w:color="auto" w:fill="auto"/>
          </w:tcPr>
          <w:p w:rsidR="00423F37" w:rsidRDefault="005970AC">
            <w:pPr>
              <w:spacing w:line="240" w:lineRule="auto"/>
              <w:jc w:val="center"/>
              <w:rPr>
                <w:color w:val="000000" w:themeColor="text1"/>
                <w:sz w:val="26"/>
                <w:szCs w:val="26"/>
                <w:vertAlign w:val="subscript"/>
              </w:rPr>
            </w:pPr>
            <w:r>
              <w:rPr>
                <w:color w:val="000000" w:themeColor="text1"/>
                <w:sz w:val="26"/>
                <w:szCs w:val="26"/>
              </w:rPr>
              <w:t>Số:        /UBND-VHTT</w:t>
            </w:r>
          </w:p>
        </w:tc>
        <w:tc>
          <w:tcPr>
            <w:tcW w:w="6005" w:type="dxa"/>
            <w:shd w:val="clear" w:color="auto" w:fill="auto"/>
          </w:tcPr>
          <w:p w:rsidR="00423F37" w:rsidRDefault="005970AC">
            <w:pPr>
              <w:spacing w:after="0" w:line="240" w:lineRule="auto"/>
              <w:jc w:val="right"/>
              <w:rPr>
                <w:i/>
                <w:color w:val="000000" w:themeColor="text1"/>
                <w:szCs w:val="26"/>
              </w:rPr>
            </w:pPr>
            <w:r>
              <w:rPr>
                <w:i/>
                <w:color w:val="000000" w:themeColor="text1"/>
                <w:szCs w:val="26"/>
              </w:rPr>
              <w:t>Cẩm Xuyên, ngày       tháng 11 năm 2022</w:t>
            </w:r>
          </w:p>
        </w:tc>
      </w:tr>
      <w:tr w:rsidR="00423F37">
        <w:trPr>
          <w:jc w:val="center"/>
        </w:trPr>
        <w:tc>
          <w:tcPr>
            <w:tcW w:w="3557" w:type="dxa"/>
            <w:shd w:val="clear" w:color="auto" w:fill="auto"/>
          </w:tcPr>
          <w:p w:rsidR="00423F37" w:rsidRDefault="00423F37">
            <w:pPr>
              <w:spacing w:after="0" w:line="240" w:lineRule="auto"/>
              <w:jc w:val="center"/>
              <w:rPr>
                <w:color w:val="000000" w:themeColor="text1"/>
                <w:sz w:val="24"/>
                <w:szCs w:val="24"/>
              </w:rPr>
            </w:pPr>
          </w:p>
        </w:tc>
        <w:tc>
          <w:tcPr>
            <w:tcW w:w="6005" w:type="dxa"/>
            <w:shd w:val="clear" w:color="auto" w:fill="auto"/>
          </w:tcPr>
          <w:p w:rsidR="00423F37" w:rsidRDefault="00423F37">
            <w:pPr>
              <w:spacing w:after="0" w:line="240" w:lineRule="auto"/>
              <w:jc w:val="center"/>
              <w:rPr>
                <w:color w:val="000000" w:themeColor="text1"/>
              </w:rPr>
            </w:pPr>
          </w:p>
        </w:tc>
      </w:tr>
    </w:tbl>
    <w:p w:rsidR="00423F37" w:rsidRDefault="00423F37">
      <w:pPr>
        <w:spacing w:after="0" w:line="264" w:lineRule="auto"/>
        <w:ind w:firstLine="709"/>
        <w:rPr>
          <w:color w:val="000000" w:themeColor="text1"/>
          <w:sz w:val="6"/>
          <w:szCs w:val="28"/>
        </w:rPr>
      </w:pPr>
    </w:p>
    <w:p w:rsidR="00423F37" w:rsidRDefault="00423F37">
      <w:pPr>
        <w:spacing w:after="0" w:line="264" w:lineRule="auto"/>
        <w:ind w:left="1440" w:firstLine="720"/>
        <w:jc w:val="center"/>
        <w:rPr>
          <w:color w:val="000000" w:themeColor="text1"/>
          <w:szCs w:val="28"/>
        </w:rPr>
      </w:pPr>
    </w:p>
    <w:p w:rsidR="00423F37" w:rsidRDefault="005970AC">
      <w:pPr>
        <w:spacing w:after="0" w:line="264" w:lineRule="auto"/>
        <w:jc w:val="center"/>
        <w:rPr>
          <w:b/>
          <w:color w:val="000000" w:themeColor="text1"/>
          <w:szCs w:val="28"/>
        </w:rPr>
      </w:pPr>
      <w:r>
        <w:rPr>
          <w:b/>
          <w:color w:val="000000" w:themeColor="text1"/>
          <w:szCs w:val="28"/>
        </w:rPr>
        <w:t>BÁO CÁO</w:t>
      </w:r>
    </w:p>
    <w:p w:rsidR="00423F37" w:rsidRDefault="005970AC">
      <w:pPr>
        <w:spacing w:after="0" w:line="264" w:lineRule="auto"/>
        <w:jc w:val="center"/>
        <w:rPr>
          <w:b/>
          <w:color w:val="000000" w:themeColor="text1"/>
          <w:szCs w:val="28"/>
        </w:rPr>
      </w:pPr>
      <w:r>
        <w:rPr>
          <w:b/>
          <w:noProof/>
          <w:color w:val="000000" w:themeColor="text1"/>
          <w:sz w:val="26"/>
          <w:szCs w:val="26"/>
        </w:rPr>
        <mc:AlternateContent>
          <mc:Choice Requires="wps">
            <w:drawing>
              <wp:anchor distT="0" distB="0" distL="114300" distR="114300" simplePos="0" relativeHeight="251665920" behindDoc="0" locked="0" layoutInCell="1" allowOverlap="1">
                <wp:simplePos x="0" y="0"/>
                <wp:positionH relativeFrom="column">
                  <wp:posOffset>2137410</wp:posOffset>
                </wp:positionH>
                <wp:positionV relativeFrom="paragraph">
                  <wp:posOffset>207010</wp:posOffset>
                </wp:positionV>
                <wp:extent cx="1655445" cy="0"/>
                <wp:effectExtent l="0" t="0" r="2095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8.3pt;margin-top:16.3pt;width:130.3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4w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"/>
            </w:pict>
          </mc:Fallback>
        </mc:AlternateContent>
      </w:r>
      <w:r>
        <w:rPr>
          <w:b/>
          <w:color w:val="000000" w:themeColor="text1"/>
          <w:szCs w:val="28"/>
        </w:rPr>
        <w:t>Kết quả thực hiện chuyển đổi số năm 2022</w:t>
      </w:r>
    </w:p>
    <w:p w:rsidR="00423F37" w:rsidRDefault="00423F37" w:rsidP="00A31510">
      <w:pPr>
        <w:spacing w:after="0" w:line="264" w:lineRule="auto"/>
        <w:rPr>
          <w:color w:val="000000" w:themeColor="text1"/>
          <w:szCs w:val="28"/>
        </w:rPr>
      </w:pPr>
    </w:p>
    <w:p w:rsidR="00423F37" w:rsidRDefault="005970AC">
      <w:pPr>
        <w:spacing w:after="0" w:line="264" w:lineRule="auto"/>
        <w:jc w:val="center"/>
        <w:rPr>
          <w:b/>
          <w:color w:val="000000" w:themeColor="text1"/>
          <w:szCs w:val="28"/>
        </w:rPr>
      </w:pPr>
      <w:r>
        <w:rPr>
          <w:color w:val="000000" w:themeColor="text1"/>
          <w:szCs w:val="28"/>
        </w:rPr>
        <w:t>Kính gửi: Sở Thông tin và Truyền thông</w:t>
      </w:r>
    </w:p>
    <w:p w:rsidR="00423F37" w:rsidRDefault="005970AC" w:rsidP="00A31510">
      <w:pPr>
        <w:spacing w:after="0" w:line="264" w:lineRule="auto"/>
        <w:ind w:firstLine="709"/>
        <w:rPr>
          <w:color w:val="000000" w:themeColor="text1"/>
          <w:sz w:val="18"/>
          <w:szCs w:val="28"/>
        </w:rPr>
      </w:pPr>
      <w:r>
        <w:rPr>
          <w:color w:val="000000" w:themeColor="text1"/>
          <w:szCs w:val="28"/>
        </w:rPr>
        <w:tab/>
      </w:r>
      <w:r>
        <w:rPr>
          <w:color w:val="000000" w:themeColor="text1"/>
          <w:szCs w:val="28"/>
        </w:rPr>
        <w:tab/>
      </w:r>
      <w:r>
        <w:rPr>
          <w:color w:val="000000" w:themeColor="text1"/>
          <w:szCs w:val="28"/>
        </w:rPr>
        <w:tab/>
      </w:r>
      <w:r>
        <w:rPr>
          <w:color w:val="000000" w:themeColor="text1"/>
          <w:szCs w:val="28"/>
        </w:rPr>
        <w:tab/>
      </w:r>
    </w:p>
    <w:p w:rsidR="00423F37" w:rsidRDefault="005970AC">
      <w:pPr>
        <w:spacing w:before="120" w:line="264" w:lineRule="auto"/>
        <w:ind w:firstLine="709"/>
        <w:rPr>
          <w:szCs w:val="28"/>
        </w:rPr>
      </w:pPr>
      <w:r>
        <w:rPr>
          <w:color w:val="000000" w:themeColor="text1"/>
          <w:szCs w:val="28"/>
        </w:rPr>
        <w:t xml:space="preserve">Thực hiện Công văn số 1555/STTTT-CNTT ngày 15/11/2022 của Sở Thông tin và Truyền thông về việc </w:t>
      </w:r>
      <w:r>
        <w:t>báo cáo số liệu phục vụ đánh giá mức độ chuyển đổi số các CQNN trên địa bàn tỉnh</w:t>
      </w:r>
      <w:r w:rsidR="00A31510">
        <w:rPr>
          <w:color w:val="000000" w:themeColor="text1"/>
          <w:szCs w:val="28"/>
        </w:rPr>
        <w:t>. S</w:t>
      </w:r>
      <w:r>
        <w:rPr>
          <w:color w:val="000000" w:themeColor="text1"/>
          <w:szCs w:val="28"/>
        </w:rPr>
        <w:t>au khi thống kê, rà soát, tổng hợp UBND huyện báo cáo kết quả thực hiện chuyển đổi số năm 2022</w:t>
      </w:r>
      <w:r>
        <w:rPr>
          <w:szCs w:val="28"/>
        </w:rPr>
        <w:t xml:space="preserve"> như sau:</w:t>
      </w:r>
    </w:p>
    <w:p w:rsidR="00423F37" w:rsidRDefault="005970AC">
      <w:pPr>
        <w:spacing w:before="120" w:line="254" w:lineRule="auto"/>
        <w:ind w:firstLine="567"/>
        <w:rPr>
          <w:b/>
        </w:rPr>
      </w:pPr>
      <w:r>
        <w:rPr>
          <w:b/>
        </w:rPr>
        <w:t>1. Về môi trườ</w:t>
      </w:r>
      <w:r w:rsidR="00E75A23">
        <w:rPr>
          <w:b/>
        </w:rPr>
        <w:t>ng, chính sách</w:t>
      </w:r>
    </w:p>
    <w:p w:rsidR="00423F37" w:rsidRDefault="005970AC">
      <w:pPr>
        <w:spacing w:before="120" w:line="254" w:lineRule="auto"/>
        <w:ind w:firstLine="567"/>
      </w:pPr>
      <w:r>
        <w:t>- Tham mưu ban hành Kế hoạch số 4106/KH-UBND ngày 20/12/2021 của UBND huyện về phát triển chính quyền số và bảo đảm an toàn thông tin mạng năm 2022 và Công văn số 137/UBND-VHTT ngày 24/01/2022 về triển khai các nhiệm vụ, nội dung cụ thể của Kế hoạch số 4106/KH-UBND; Quyết đị</w:t>
      </w:r>
      <w:r w:rsidR="00E75A23">
        <w:t xml:space="preserve">nh: </w:t>
      </w:r>
      <w:r>
        <w:t>QĐ 6630/QĐ-UBND ngày 31/12/2021</w:t>
      </w:r>
      <w:r w:rsidR="00E75A23">
        <w:t xml:space="preserve"> về</w:t>
      </w:r>
      <w:r w:rsidR="002932A5">
        <w:t xml:space="preserve"> việc </w:t>
      </w:r>
      <w:r w:rsidR="00E75A23">
        <w:t>thành lập BCĐ chuyển đổi số huyện</w:t>
      </w:r>
      <w:r>
        <w:t xml:space="preserve">; tham mưu đề xuất các nội dung, nhiệm vụ, đề án thực hiện chuyển đổi số giai đoạn 2022-2025; </w:t>
      </w:r>
    </w:p>
    <w:p w:rsidR="00423F37" w:rsidRDefault="005970AC">
      <w:pPr>
        <w:spacing w:before="120" w:line="254" w:lineRule="auto"/>
        <w:ind w:firstLine="567"/>
      </w:pPr>
      <w:r>
        <w:t xml:space="preserve">- Tham mưu cho UBND huyện trình </w:t>
      </w:r>
      <w:r w:rsidR="00D24464">
        <w:t xml:space="preserve">Ban chấp hành Đảng bộ huyện </w:t>
      </w:r>
      <w:r>
        <w:t xml:space="preserve">ban hành Chương trình hành động số 58-CTR/HU ngày 05/5/2022 về thực hiện Nghị Quyết 05-NQ/TU và ban hành Kế hoạch số 3398/KH-UBND ngày 14/11/2022 của UBND huyện về Chuyển đổi số huyện Cẩm Xuyên giai đoạn 2022-2025, định hướng đến năm 2030 và nhiều văn bản triển khai, đôn đốc, chỉ đạo các cơ quan, đơn vị, địa phương thực hiện ứng dụng CNTT, dịch vụ công, dịch vụ BCCI và chuyển đổi số; </w:t>
      </w:r>
    </w:p>
    <w:p w:rsidR="00423F37" w:rsidRDefault="005970AC">
      <w:pPr>
        <w:spacing w:before="120" w:line="254" w:lineRule="auto"/>
        <w:ind w:firstLine="567"/>
      </w:pPr>
      <w:r>
        <w:t>- Tham mưu xây dựng dự thảo quy chế quy chế về tổ chức ứng dụng các hệ thống thông tin và bảo đảm an toàn an ninh thông tin nội bộ, mạng LAN, dự kiến ban hành trước 15/12/2022…</w:t>
      </w:r>
    </w:p>
    <w:p w:rsidR="00423F37" w:rsidRDefault="005970AC">
      <w:pPr>
        <w:spacing w:before="120" w:line="254" w:lineRule="auto"/>
        <w:ind w:firstLine="567"/>
      </w:pPr>
      <w:r w:rsidRPr="00385031">
        <w:rPr>
          <w:b/>
        </w:rPr>
        <w:t>2. Về nhân lực chuyển đổi số</w:t>
      </w:r>
      <w:r w:rsidR="003B2644" w:rsidRPr="00385031">
        <w:rPr>
          <w:b/>
        </w:rPr>
        <w:t>:</w:t>
      </w:r>
      <w:r w:rsidR="003B2644">
        <w:t xml:space="preserve"> P</w:t>
      </w:r>
      <w:r>
        <w:t>hân công cán bộ có trình độ</w:t>
      </w:r>
      <w:r w:rsidR="00767C02">
        <w:t xml:space="preserve"> chuyên môn</w:t>
      </w:r>
      <w:r>
        <w:t xml:space="preserve"> về công nghệ thông tin làm chuyên trách CNTT huyện và được hưởng chế độ đặc thù theo quy định của UBND tỉnh; 100% cán bộ, công chức, viên chức cấp huyện có chứng chỉ tin học đúng quy định và có kỹ năng CNTT đáp ứng nhu cầu thực hiện chuyên môn…Cán bộ chuyên trách CNTT huyện tham gia đầy đủ các lớp tập huấn chuyên sâu về CNTT, chuyển đổi số, an toàn thông tin, diễn tập ATTT trong năm theo yêu cầu của cấp trên…</w:t>
      </w:r>
    </w:p>
    <w:p w:rsidR="00423F37" w:rsidRDefault="005970AC">
      <w:pPr>
        <w:spacing w:before="120" w:line="254" w:lineRule="auto"/>
        <w:ind w:firstLine="567"/>
      </w:pPr>
      <w:r w:rsidRPr="00C160C5">
        <w:rPr>
          <w:b/>
        </w:rPr>
        <w:lastRenderedPageBreak/>
        <w:t>3. Về cơ sở hạ tầng:</w:t>
      </w:r>
      <w:r>
        <w:t xml:space="preserve"> 100% cán bộ, công chức, viên chức cấp huyện, cấp xã được trang bị máy tính để làm việc; 100% UBND cấp xã có mạng LAN; tiếp tục tham mưu triển khai kế hoạch số 1353/KH-UBND ngày 29/9/2021 của UBND huyện</w:t>
      </w:r>
      <w:r w:rsidR="00E13CF5">
        <w:t xml:space="preserve"> về việc t</w:t>
      </w:r>
      <w:r>
        <w:t>riển khai chuyển đổi IPv4 sang IPv6 cho hệ thống công nghệ thông tin, Internet của các cơ quan nhà nước trên địa bàn huyện Cẩm Xuyên giai đoạn 2021-2025 và các văn bản chỉ đạo của cấ</w:t>
      </w:r>
      <w:r w:rsidR="00251F8E">
        <w:t>p trên có liên quan; bố trí</w:t>
      </w:r>
      <w:r>
        <w:t xml:space="preserve"> màn hình lớn ở sả</w:t>
      </w:r>
      <w:r w:rsidR="005C0E29">
        <w:t>nh</w:t>
      </w:r>
      <w:r>
        <w:t xml:space="preserve"> cơ quan hiển thị công khai lịch công tác hàng ngày, tuần của Lãnh đạo; trụ sở cơ quan có hệ thống camera giám sát an ninh; vận hành có hiệu quả phòng họp trực tuyến chuyên dụng tại UBND huyện và phòng họp trực tuyến liên thông 4 cấp do VNPT triển khai, đáp ứng nhu cầu họp trực tuyến khi có yêu cầu.</w:t>
      </w:r>
    </w:p>
    <w:p w:rsidR="00423F37" w:rsidRDefault="005970AC">
      <w:pPr>
        <w:spacing w:before="120"/>
        <w:ind w:left="102" w:firstLine="566"/>
        <w:rPr>
          <w:color w:val="000000"/>
          <w:shd w:val="clear" w:color="auto" w:fill="FFFFFF"/>
        </w:rPr>
      </w:pPr>
      <w:r w:rsidRPr="00C160C5">
        <w:rPr>
          <w:b/>
        </w:rPr>
        <w:t>4. Về kết quả xây dựng, phát triển dữ liệ</w:t>
      </w:r>
      <w:r w:rsidR="000E501A" w:rsidRPr="00C160C5">
        <w:rPr>
          <w:b/>
        </w:rPr>
        <w:t>u:</w:t>
      </w:r>
      <w:r w:rsidR="000E501A">
        <w:t xml:space="preserve"> T</w:t>
      </w:r>
      <w:r>
        <w:t xml:space="preserve">riển khai xây dựng danh mục và lập hồ sơ điện tử trên hệ thống Hồ sơ công việc; </w:t>
      </w:r>
      <w:r>
        <w:rPr>
          <w:color w:val="000000"/>
          <w:shd w:val="clear" w:color="auto" w:fill="FFFFFF"/>
        </w:rPr>
        <w:t xml:space="preserve">Tiếp tục chỉ đạo thực hiện số hóa sổ hộ tịch giai đoạn 3 (từ 1999-2005) đảm bảo tiến độ theo quy định của bộ Tư pháp; Tiếp tục chỉ đạo tuyên truyền và triển khai Đề án phát triển ứng dụng dữ liệu dân cư định danh và xác thực điện tử phục vụ chuyển đổi số; </w:t>
      </w:r>
      <w:r>
        <w:rPr>
          <w:spacing w:val="-6"/>
          <w:lang w:val="vi-VN"/>
        </w:rPr>
        <w:t xml:space="preserve">Hệ thống các phần mềm ứng dụng và CSDL chuyên ngành phục vụ cho các nghiệp vụ quản lý chuyên ngành đã được các phòng, ban ngành, đoàn thể sử dụng </w:t>
      </w:r>
      <w:r>
        <w:rPr>
          <w:spacing w:val="-6"/>
        </w:rPr>
        <w:t xml:space="preserve">có hiệu quả </w:t>
      </w:r>
      <w:r>
        <w:rPr>
          <w:spacing w:val="-6"/>
          <w:lang w:val="vi-VN"/>
        </w:rPr>
        <w:t>như: Phần mềm quản lý cán bộ công chức; phần mềm truyền thanh cơ sở, phần mềm quản lý hộ tịch; phần mềm quản lý kế Toán - Tài chính, tài sản như: Tamis, phần mềm quản lý bản đồ địa chính, quản lý đất đai</w:t>
      </w:r>
      <w:r>
        <w:rPr>
          <w:spacing w:val="-6"/>
        </w:rPr>
        <w:t xml:space="preserve">; </w:t>
      </w:r>
      <w:r>
        <w:rPr>
          <w:color w:val="000000"/>
          <w:shd w:val="clear" w:color="auto" w:fill="FFFFFF"/>
        </w:rPr>
        <w:t>các hệ thống dữ liệu kết nối liên thông với CSDL của Trung ương như Dữ liệu hộ tịch, dịch vụ công trực tuyến, chứng thực điện tử, dữ liệu dân cư (VNEID), bảo hiểm xã hội (VSSID).</w:t>
      </w:r>
    </w:p>
    <w:p w:rsidR="00423F37" w:rsidRDefault="009D0369">
      <w:pPr>
        <w:spacing w:before="120"/>
        <w:ind w:left="102" w:firstLine="566"/>
        <w:rPr>
          <w:color w:val="000000"/>
          <w:shd w:val="clear" w:color="auto" w:fill="FFFFFF"/>
        </w:rPr>
      </w:pPr>
      <w:r>
        <w:rPr>
          <w:b/>
          <w:color w:val="000000"/>
          <w:shd w:val="clear" w:color="auto" w:fill="FFFFFF"/>
        </w:rPr>
        <w:t>5.</w:t>
      </w:r>
      <w:r w:rsidR="00A86CF8">
        <w:rPr>
          <w:b/>
          <w:color w:val="000000"/>
          <w:shd w:val="clear" w:color="auto" w:fill="FFFFFF"/>
        </w:rPr>
        <w:t xml:space="preserve"> </w:t>
      </w:r>
      <w:r w:rsidR="005970AC" w:rsidRPr="009D0369">
        <w:rPr>
          <w:b/>
          <w:color w:val="000000"/>
          <w:shd w:val="clear" w:color="auto" w:fill="FFFFFF"/>
        </w:rPr>
        <w:t>Về an toàn thông tin:</w:t>
      </w:r>
      <w:r w:rsidR="005970AC">
        <w:rPr>
          <w:color w:val="000000"/>
          <w:shd w:val="clear" w:color="auto" w:fill="FFFFFF"/>
        </w:rPr>
        <w:t xml:space="preserve"> Lồng ghép nhiệm vụ cụ thể về bảo đảm an toàn thông tin mạng trong Kế hoạch chuyển đổi số năm 2022; xây dựng Kế hoạch số 2731 ngày 20/9/2022 của UBND huyện về nâng cao chất lượng công tác đảm bảo an toàn hệ thống thông tin của UBND huyện Cẩm Xuyên</w:t>
      </w:r>
      <w:r w:rsidR="00181284">
        <w:rPr>
          <w:color w:val="000000"/>
          <w:shd w:val="clear" w:color="auto" w:fill="FFFFFF"/>
        </w:rPr>
        <w:t>. N</w:t>
      </w:r>
      <w:r w:rsidR="005970AC">
        <w:rPr>
          <w:color w:val="000000"/>
          <w:shd w:val="clear" w:color="auto" w:fill="FFFFFF"/>
        </w:rPr>
        <w:t>gay sau đợt kiểm tra của Tiểu ban an toàn thông tin tỉnh tại UBND huyện</w:t>
      </w:r>
      <w:r w:rsidR="00181284">
        <w:rPr>
          <w:color w:val="000000"/>
          <w:shd w:val="clear" w:color="auto" w:fill="FFFFFF"/>
        </w:rPr>
        <w:t>, đã</w:t>
      </w:r>
      <w:r w:rsidR="005970AC">
        <w:rPr>
          <w:color w:val="000000"/>
          <w:shd w:val="clear" w:color="auto" w:fill="FFFFFF"/>
        </w:rPr>
        <w:t xml:space="preserve"> kịp thờ</w:t>
      </w:r>
      <w:r w:rsidR="00181284">
        <w:rPr>
          <w:color w:val="000000"/>
          <w:shd w:val="clear" w:color="auto" w:fill="FFFFFF"/>
        </w:rPr>
        <w:t>i xây dựng</w:t>
      </w:r>
      <w:r w:rsidR="005970AC">
        <w:rPr>
          <w:color w:val="000000"/>
          <w:shd w:val="clear" w:color="auto" w:fill="FFFFFF"/>
        </w:rPr>
        <w:t xml:space="preserve"> kế hoạch khắc phục những nội dung mà đoàn chỉ ra; chỉ đạo 100% các phòng, ban, đơn vị cài đặt hệ thống giám sát an toàn an ninh mạng tập trung Bkav Endpoint 15 do Trung tâm CNTT chủ trì thực hiện; chỉ đạo cập nhật kịp thời các bản vá lỗ hổng bảo mật, gây mất an toàn thông tin được cảnh báo báo từ Sở Thông tin và Truyền thông và các cơ quan chức năng; thực hiện nghiêm túc các quy định về an toàn thông tin, bảo mật thông tin các tài liệu, văn bản có liên quan đến bí mật nhà nước; phổ biến thông tin về các mã độc, virus gây nguy hiểm cho hệ thống; quán triệt CBCCVC bảo quản tốt các tài khoản đăng nhập cá nhân, định kỳ thay đổi mật khâu, sao lưu dữ liệu qua trọng, bảo vệ tài liệu cá nhân. </w:t>
      </w:r>
      <w:r w:rsidR="00187FC6">
        <w:rPr>
          <w:color w:val="000000"/>
          <w:shd w:val="clear" w:color="auto" w:fill="FFFFFF"/>
        </w:rPr>
        <w:t>Hiện nay, đ</w:t>
      </w:r>
      <w:r w:rsidR="005970AC">
        <w:rPr>
          <w:color w:val="000000"/>
        </w:rPr>
        <w:t>ang triển khai hệ thống tường lửa bảo vệ mạng LAN dự kiến hoàn thành trong tháng 12/2022.</w:t>
      </w:r>
    </w:p>
    <w:p w:rsidR="00423F37" w:rsidRPr="00A86CF8" w:rsidRDefault="005970AC">
      <w:pPr>
        <w:spacing w:before="120"/>
        <w:ind w:firstLine="720"/>
        <w:rPr>
          <w:b/>
        </w:rPr>
      </w:pPr>
      <w:bookmarkStart w:id="0" w:name="_GoBack"/>
      <w:r w:rsidRPr="00A86CF8">
        <w:rPr>
          <w:b/>
        </w:rPr>
        <w:t>6. Về kết quả chuyển đổi số và phát triển chính quyền số</w:t>
      </w:r>
    </w:p>
    <w:bookmarkEnd w:id="0"/>
    <w:p w:rsidR="00423F37" w:rsidRDefault="005970AC">
      <w:pPr>
        <w:spacing w:before="120"/>
        <w:ind w:firstLine="720"/>
      </w:pPr>
      <w:r>
        <w:t xml:space="preserve">- Năm 2022, đề nghị cấp mới và cấp lại 58 chứng thư số cho tổ chức và cá nhân là LĐ các phòng, đơn vị, hiệu trưởng, hiệu phó các trường THCS và cán bộ Tư pháp hộ tịch cấp xã. Đề nghị thay đổi thông tin cho 14 cán bộ có thay đổi vị trí, </w:t>
      </w:r>
      <w:r>
        <w:lastRenderedPageBreak/>
        <w:t xml:space="preserve">đơn vị công tác. Đến nay, 100% Phòng, ban, đơn vị cấp huyện, UBND cấp xã, Trường học; 100% cá nhân là lãnh đạo cấp huyện, cấp phòng, ban, đơn vị, trường học, UBND cấp xã, cán bộ Tư pháp trên địa bàn huyện được cấp và sử dụng thiết bị chứng thư số trong thực hiện ký duyệt văn bản và chuyên môn; tiếp tục ứng dụng đồng bộ phần mềm dùng chung Hồ sơ công việc, </w:t>
      </w:r>
      <w:r>
        <w:rPr>
          <w:lang w:val="vi-VN"/>
        </w:rPr>
        <w:t>thư điện tử</w:t>
      </w:r>
      <w:r>
        <w:t>; chữ ký số..</w:t>
      </w:r>
      <w:r>
        <w:rPr>
          <w:lang w:val="vi-VN"/>
        </w:rPr>
        <w:t>.</w:t>
      </w:r>
      <w:r>
        <w:t xml:space="preserve"> trong chỉ đạo điều hành, trao đổi gửi nhận giữa cơ quan nhà nước và cán bộ công chức; 100%</w:t>
      </w:r>
      <w:r>
        <w:rPr>
          <w:lang w:val="vi-VN"/>
        </w:rPr>
        <w:t xml:space="preserve"> văn bản </w:t>
      </w:r>
      <w:r>
        <w:t xml:space="preserve">(trừ văn bản mật) được ký số trao đổi, </w:t>
      </w:r>
      <w:r>
        <w:rPr>
          <w:lang w:val="vi-VN"/>
        </w:rPr>
        <w:t xml:space="preserve">gửi </w:t>
      </w:r>
      <w:r>
        <w:t xml:space="preserve">nhận điện tử giữa cấp tỉnh, giữa các đơn vị cấp huyện; cấp xã đạt 90%; </w:t>
      </w:r>
      <w:r>
        <w:rPr>
          <w:color w:val="000000"/>
          <w:shd w:val="clear" w:color="auto" w:fill="FFFFFF"/>
        </w:rPr>
        <w:t xml:space="preserve">Phối hợp với Trung tâm CNTT và Truyền thông tỉnh tổ chức 05 lớp tập huấn kỹ năng CNTT và Chuyển đổi số cho cán bộ công chức, thành viên tổ chuyển đổi số cộng đồng, đoàn viên, thanh niên, người dân và doanh nghiệp tại xã Cẩm Mỹ, </w:t>
      </w:r>
      <w:r>
        <w:rPr>
          <w:color w:val="000000"/>
        </w:rPr>
        <w:t xml:space="preserve">Yên Hòa, Cẩm Hưng và Cẩm Thạch và tại UBND huyện thu hút 310 học viên tham gia; </w:t>
      </w:r>
      <w:r>
        <w:t xml:space="preserve">tổ chức thành công Ngày hội chuyển đổi số tại địa bàn thị trấn Cẩm Xuyên, thành lập </w:t>
      </w:r>
      <w:r>
        <w:rPr>
          <w:rStyle w:val="fontstyle01"/>
        </w:rPr>
        <w:t>35 Tổ chuyển đổi số cộng đồng trong đó có 9 tổ cấp xã và 26 tổ thôn, tổ dân phố</w:t>
      </w:r>
      <w:r w:rsidR="00401AC1">
        <w:rPr>
          <w:rStyle w:val="fontstyle01"/>
        </w:rPr>
        <w:t>.</w:t>
      </w:r>
    </w:p>
    <w:p w:rsidR="00423F37" w:rsidRDefault="005970AC">
      <w:pPr>
        <w:spacing w:before="120"/>
        <w:ind w:firstLine="720"/>
        <w:rPr>
          <w:color w:val="000000"/>
          <w:shd w:val="clear" w:color="auto" w:fill="FFFFFF"/>
        </w:rPr>
      </w:pPr>
      <w:r>
        <w:t xml:space="preserve">- Về kết quả xây dựng, phát triển ứng dụng, dịch vụ phục vụ người dân, doanh nghiệp: </w:t>
      </w:r>
      <w:r>
        <w:rPr>
          <w:lang w:eastAsia="x-none"/>
        </w:rPr>
        <w:t xml:space="preserve">Tiếp tục ứng dụng hệ thống Dịch vụ công trực tuyến cung cấp dịch vụ cho tổ chức, cá nhân khi có nhu cầu giải quyết TTHC; Tiếp tục chỉ đạo thực hiện việc thanh toán không dùng tiền mặt trong khám chữa bệnh tại các cơ sở y tế, bệnh viện, thu học phí đối với các đơn vị trường học trên địa bàn huyện. Đến nay có 100% các đơn vị đã xây dựng kế hoạch triển khai thực hiệnthanh toán không dùng tiền mặt trong năm 2022; </w:t>
      </w:r>
      <w:r>
        <w:t>Cổng/Trang TTĐT huyện và cấp xã được cập nhật thông tin kịp thời đầy đủ, đảm bảo cung cấp, công khai thông tin đúng quy định…</w:t>
      </w:r>
    </w:p>
    <w:p w:rsidR="00423F37" w:rsidRDefault="005970AC">
      <w:pPr>
        <w:pStyle w:val="TableParagraph"/>
        <w:spacing w:before="120" w:after="120" w:line="268" w:lineRule="exact"/>
        <w:ind w:left="105" w:firstLine="562"/>
        <w:jc w:val="both"/>
        <w:rPr>
          <w:rFonts w:ascii="Times New Roman" w:hAnsi="Times New Roman"/>
          <w:color w:val="000000"/>
          <w:sz w:val="28"/>
          <w:szCs w:val="28"/>
        </w:rPr>
      </w:pPr>
      <w:r>
        <w:rPr>
          <w:rFonts w:ascii="Times New Roman" w:eastAsia="Times New Roman" w:hAnsi="Times New Roman" w:cs="Times New Roman"/>
          <w:sz w:val="28"/>
          <w:szCs w:val="28"/>
          <w:lang w:eastAsia="x-none" w:bidi="ar-SA"/>
        </w:rPr>
        <w:t xml:space="preserve">- Về kết quả cung cấp dịch vụ công trực tuyến: </w:t>
      </w:r>
      <w:r>
        <w:rPr>
          <w:rFonts w:ascii="Times New Roman" w:hAnsi="Times New Roman"/>
          <w:color w:val="000000"/>
          <w:sz w:val="28"/>
          <w:szCs w:val="28"/>
        </w:rPr>
        <w:t>(</w:t>
      </w:r>
      <w:r>
        <w:rPr>
          <w:rFonts w:ascii="Times New Roman" w:hAnsi="Times New Roman"/>
          <w:i/>
          <w:color w:val="000000"/>
          <w:sz w:val="28"/>
          <w:szCs w:val="28"/>
        </w:rPr>
        <w:t>số liệu thống kê từ hệ thống HCC huyện hồ sơ DVC mức độ 3, mức độ 4 từ 15/12/2021-14/11/2022</w:t>
      </w:r>
      <w:r>
        <w:rPr>
          <w:rFonts w:ascii="Times New Roman" w:hAnsi="Times New Roman"/>
          <w:color w:val="000000"/>
          <w:sz w:val="28"/>
          <w:szCs w:val="28"/>
        </w:rPr>
        <w:t>)</w:t>
      </w:r>
      <w:r>
        <w:rPr>
          <w:rFonts w:ascii="Times New Roman" w:hAnsi="Times New Roman"/>
          <w:color w:val="000000"/>
          <w:sz w:val="28"/>
          <w:szCs w:val="28"/>
          <w:lang w:val="nb-NO"/>
        </w:rPr>
        <w:t>: Cấp huyện có 177</w:t>
      </w:r>
      <w:r>
        <w:rPr>
          <w:rFonts w:ascii="Times New Roman" w:hAnsi="Times New Roman"/>
          <w:color w:val="000000"/>
          <w:sz w:val="28"/>
          <w:szCs w:val="28"/>
        </w:rPr>
        <w:t xml:space="preserve"> TTHC </w:t>
      </w:r>
      <w:r>
        <w:rPr>
          <w:rFonts w:ascii="Times New Roman" w:hAnsi="Times New Roman"/>
          <w:color w:val="000000"/>
          <w:sz w:val="28"/>
          <w:szCs w:val="28"/>
          <w:lang w:val="nb-NO"/>
        </w:rPr>
        <w:t xml:space="preserve">cung cấp dịch vụ công trực tuyến </w:t>
      </w:r>
      <w:r>
        <w:rPr>
          <w:rFonts w:ascii="Times New Roman" w:hAnsi="Times New Roman"/>
          <w:color w:val="000000"/>
          <w:sz w:val="28"/>
          <w:szCs w:val="28"/>
        </w:rPr>
        <w:t>trong đó: Có 30/177 TTHC có phát sinh hồ sơ trực tuyến đạt tỷ lệ 17% với 2134/5894 hồ sơ được tiếp nhận trực tuyến chiếm tỷ lệ 36,2%;Cấp xã có 81</w:t>
      </w:r>
      <w:r>
        <w:rPr>
          <w:rFonts w:ascii="Times New Roman" w:hAnsi="Times New Roman"/>
          <w:color w:val="000000"/>
          <w:sz w:val="28"/>
          <w:szCs w:val="28"/>
          <w:lang w:val="vi-VN"/>
        </w:rPr>
        <w:t xml:space="preserve"> </w:t>
      </w:r>
      <w:r>
        <w:rPr>
          <w:rFonts w:ascii="Times New Roman" w:hAnsi="Times New Roman"/>
          <w:color w:val="000000"/>
          <w:sz w:val="28"/>
          <w:szCs w:val="28"/>
        </w:rPr>
        <w:t>TTHC với 4723 hồ sơ tiếp nhận trực tuyến đạt tỷ lệ 15,4% (4723/30687 hồ sơ).</w:t>
      </w:r>
    </w:p>
    <w:p w:rsidR="00423F37" w:rsidRDefault="005970AC">
      <w:pPr>
        <w:pStyle w:val="TableParagraph"/>
        <w:spacing w:before="120" w:after="120" w:line="268" w:lineRule="exact"/>
        <w:ind w:left="105" w:firstLine="562"/>
        <w:jc w:val="both"/>
        <w:rPr>
          <w:rFonts w:ascii="Times New Roman" w:eastAsia="Times New Roman" w:hAnsi="Times New Roman" w:cs="Times New Roman"/>
          <w:sz w:val="28"/>
          <w:szCs w:val="28"/>
          <w:lang w:eastAsia="x-none" w:bidi="ar-SA"/>
        </w:rPr>
      </w:pPr>
      <w:r>
        <w:rPr>
          <w:rFonts w:ascii="Times New Roman" w:eastAsia="Times New Roman" w:hAnsi="Times New Roman" w:cs="Times New Roman"/>
          <w:sz w:val="28"/>
          <w:szCs w:val="28"/>
          <w:lang w:eastAsia="x-none" w:bidi="ar-SA"/>
        </w:rPr>
        <w:t>_- Về thực hiện tiếp nhận hồ sơ, trả kết quả giải quyết TTHC qua dịch vụ bưu chính công ích (BCCI): 100% TTHC đã triển khai có phát sinh hồ sơ tiếp nhận/trả kết quả giải quyết qua dịch vụ BCCI; tỷ lệ hồ sơ TTHC được tiếp nhận/trả kết qua dịch vụ BCCI đạt 100%.</w:t>
      </w:r>
    </w:p>
    <w:p w:rsidR="00423F37" w:rsidRDefault="005970AC">
      <w:pPr>
        <w:pStyle w:val="TableParagraph"/>
        <w:spacing w:before="120" w:after="120" w:line="268" w:lineRule="exact"/>
        <w:ind w:left="105" w:firstLine="562"/>
        <w:jc w:val="center"/>
        <w:rPr>
          <w:i/>
          <w:sz w:val="28"/>
          <w:szCs w:val="28"/>
          <w:lang w:val="nl-NL"/>
        </w:rPr>
      </w:pPr>
      <w:r>
        <w:rPr>
          <w:rFonts w:ascii="Times New Roman" w:eastAsia="Times New Roman" w:hAnsi="Times New Roman" w:cs="Times New Roman"/>
          <w:i/>
          <w:sz w:val="28"/>
          <w:szCs w:val="28"/>
          <w:lang w:eastAsia="x-none" w:bidi="ar-SA"/>
        </w:rPr>
        <w:t>(Chi tiết các số liệu theo biểu gửi kèm)</w:t>
      </w:r>
    </w:p>
    <w:p w:rsidR="00423F37" w:rsidRDefault="005970AC">
      <w:pPr>
        <w:spacing w:before="120" w:line="240" w:lineRule="auto"/>
        <w:rPr>
          <w:color w:val="000000" w:themeColor="text1"/>
          <w:szCs w:val="28"/>
        </w:rPr>
      </w:pPr>
      <w:r>
        <w:rPr>
          <w:color w:val="000000" w:themeColor="text1"/>
          <w:szCs w:val="28"/>
        </w:rPr>
        <w:tab/>
        <w:t>Trên đây là báo cáo kết quả thực hiện chuyển đổi số năm 2022, UBND huyện Cẩm Xuyên báo cáo để Sở Thông tin và Truyền thông tổng hợp./.</w:t>
      </w:r>
    </w:p>
    <w:p w:rsidR="00423F37" w:rsidRDefault="00423F37">
      <w:pPr>
        <w:spacing w:after="0" w:line="240" w:lineRule="auto"/>
        <w:rPr>
          <w:color w:val="000000" w:themeColor="text1"/>
          <w:sz w:val="18"/>
          <w:szCs w:val="28"/>
        </w:rPr>
      </w:pPr>
    </w:p>
    <w:tbl>
      <w:tblPr>
        <w:tblW w:w="9081" w:type="dxa"/>
        <w:tblInd w:w="108" w:type="dxa"/>
        <w:tblLook w:val="04A0" w:firstRow="1" w:lastRow="0" w:firstColumn="1" w:lastColumn="0" w:noHBand="0" w:noVBand="1"/>
      </w:tblPr>
      <w:tblGrid>
        <w:gridCol w:w="3544"/>
        <w:gridCol w:w="1418"/>
        <w:gridCol w:w="4119"/>
      </w:tblGrid>
      <w:tr w:rsidR="00423F37">
        <w:tc>
          <w:tcPr>
            <w:tcW w:w="3544" w:type="dxa"/>
            <w:shd w:val="clear" w:color="auto" w:fill="auto"/>
          </w:tcPr>
          <w:p w:rsidR="00423F37" w:rsidRDefault="005970AC">
            <w:pPr>
              <w:spacing w:after="0" w:line="240" w:lineRule="auto"/>
              <w:rPr>
                <w:b/>
                <w:i/>
                <w:color w:val="000000" w:themeColor="text1"/>
                <w:sz w:val="24"/>
                <w:szCs w:val="24"/>
              </w:rPr>
            </w:pPr>
            <w:r>
              <w:rPr>
                <w:b/>
                <w:i/>
                <w:color w:val="000000" w:themeColor="text1"/>
                <w:sz w:val="24"/>
                <w:szCs w:val="24"/>
              </w:rPr>
              <w:t xml:space="preserve">Nơi nhận: </w:t>
            </w:r>
          </w:p>
          <w:p w:rsidR="00423F37" w:rsidRDefault="005970AC">
            <w:pPr>
              <w:spacing w:after="0" w:line="240" w:lineRule="auto"/>
              <w:rPr>
                <w:color w:val="000000" w:themeColor="text1"/>
                <w:sz w:val="22"/>
              </w:rPr>
            </w:pPr>
            <w:r>
              <w:rPr>
                <w:color w:val="000000" w:themeColor="text1"/>
                <w:sz w:val="22"/>
              </w:rPr>
              <w:t xml:space="preserve">- Như trên; </w:t>
            </w:r>
          </w:p>
          <w:p w:rsidR="00423F37" w:rsidRDefault="005970AC">
            <w:pPr>
              <w:spacing w:after="0" w:line="240" w:lineRule="auto"/>
              <w:rPr>
                <w:color w:val="000000" w:themeColor="text1"/>
                <w:sz w:val="22"/>
              </w:rPr>
            </w:pPr>
            <w:r>
              <w:rPr>
                <w:color w:val="000000" w:themeColor="text1"/>
                <w:sz w:val="22"/>
              </w:rPr>
              <w:t xml:space="preserve">- Chủ tịch, các PCT UBND huyện; </w:t>
            </w:r>
          </w:p>
          <w:p w:rsidR="00423F37" w:rsidRDefault="005970AC">
            <w:pPr>
              <w:spacing w:after="0" w:line="240" w:lineRule="auto"/>
              <w:rPr>
                <w:color w:val="000000" w:themeColor="text1"/>
                <w:sz w:val="22"/>
              </w:rPr>
            </w:pPr>
            <w:r>
              <w:rPr>
                <w:color w:val="000000" w:themeColor="text1"/>
                <w:sz w:val="22"/>
              </w:rPr>
              <w:t>- Lưu: VT, VHTT.</w:t>
            </w:r>
          </w:p>
          <w:p w:rsidR="00423F37" w:rsidRDefault="00423F37">
            <w:pPr>
              <w:spacing w:after="0" w:line="240" w:lineRule="auto"/>
              <w:rPr>
                <w:color w:val="000000" w:themeColor="text1"/>
              </w:rPr>
            </w:pPr>
          </w:p>
        </w:tc>
        <w:tc>
          <w:tcPr>
            <w:tcW w:w="1418" w:type="dxa"/>
          </w:tcPr>
          <w:p w:rsidR="00423F37" w:rsidRDefault="00423F37">
            <w:pPr>
              <w:spacing w:after="0" w:line="240" w:lineRule="auto"/>
              <w:jc w:val="center"/>
              <w:rPr>
                <w:b/>
                <w:color w:val="000000" w:themeColor="text1"/>
                <w:szCs w:val="28"/>
              </w:rPr>
            </w:pPr>
          </w:p>
        </w:tc>
        <w:tc>
          <w:tcPr>
            <w:tcW w:w="4119" w:type="dxa"/>
            <w:shd w:val="clear" w:color="auto" w:fill="auto"/>
          </w:tcPr>
          <w:p w:rsidR="00423F37" w:rsidRDefault="005970AC">
            <w:pPr>
              <w:spacing w:after="0" w:line="240" w:lineRule="auto"/>
              <w:jc w:val="center"/>
              <w:rPr>
                <w:b/>
                <w:color w:val="000000" w:themeColor="text1"/>
                <w:sz w:val="26"/>
                <w:szCs w:val="26"/>
              </w:rPr>
            </w:pPr>
            <w:r>
              <w:rPr>
                <w:b/>
                <w:color w:val="000000" w:themeColor="text1"/>
                <w:sz w:val="26"/>
                <w:szCs w:val="26"/>
              </w:rPr>
              <w:t>TM. ỦY BAN NHÂN DÂN</w:t>
            </w:r>
          </w:p>
          <w:p w:rsidR="00423F37" w:rsidRDefault="005970AC">
            <w:pPr>
              <w:spacing w:after="0" w:line="240" w:lineRule="auto"/>
              <w:jc w:val="center"/>
              <w:rPr>
                <w:b/>
                <w:color w:val="000000" w:themeColor="text1"/>
                <w:sz w:val="26"/>
                <w:szCs w:val="26"/>
              </w:rPr>
            </w:pPr>
            <w:r>
              <w:rPr>
                <w:b/>
                <w:color w:val="000000" w:themeColor="text1"/>
                <w:sz w:val="26"/>
                <w:szCs w:val="26"/>
              </w:rPr>
              <w:t>KT. CHỦ TỊCH</w:t>
            </w:r>
          </w:p>
          <w:p w:rsidR="00423F37" w:rsidRDefault="005970AC">
            <w:pPr>
              <w:spacing w:after="0" w:line="240" w:lineRule="auto"/>
              <w:jc w:val="center"/>
              <w:rPr>
                <w:b/>
                <w:color w:val="000000" w:themeColor="text1"/>
                <w:szCs w:val="28"/>
              </w:rPr>
            </w:pPr>
            <w:r>
              <w:rPr>
                <w:b/>
                <w:color w:val="000000" w:themeColor="text1"/>
                <w:sz w:val="26"/>
                <w:szCs w:val="26"/>
              </w:rPr>
              <w:t>PHÓ CHỦ TỊCH</w:t>
            </w:r>
          </w:p>
          <w:p w:rsidR="00423F37" w:rsidRDefault="00423F37">
            <w:pPr>
              <w:spacing w:after="0" w:line="240" w:lineRule="auto"/>
              <w:jc w:val="center"/>
              <w:rPr>
                <w:b/>
                <w:color w:val="000000" w:themeColor="text1"/>
                <w:szCs w:val="28"/>
              </w:rPr>
            </w:pPr>
          </w:p>
          <w:p w:rsidR="00423F37" w:rsidRDefault="00423F37">
            <w:pPr>
              <w:spacing w:after="0" w:line="240" w:lineRule="auto"/>
              <w:jc w:val="center"/>
              <w:rPr>
                <w:b/>
                <w:color w:val="000000" w:themeColor="text1"/>
                <w:sz w:val="30"/>
                <w:szCs w:val="28"/>
              </w:rPr>
            </w:pPr>
          </w:p>
          <w:p w:rsidR="00423F37" w:rsidRDefault="00423F37">
            <w:pPr>
              <w:spacing w:after="0" w:line="240" w:lineRule="auto"/>
              <w:rPr>
                <w:b/>
                <w:color w:val="000000" w:themeColor="text1"/>
                <w:sz w:val="20"/>
                <w:szCs w:val="28"/>
              </w:rPr>
            </w:pPr>
          </w:p>
          <w:p w:rsidR="00423F37" w:rsidRDefault="00423F37">
            <w:pPr>
              <w:spacing w:after="0" w:line="240" w:lineRule="auto"/>
              <w:jc w:val="center"/>
              <w:rPr>
                <w:b/>
                <w:color w:val="000000" w:themeColor="text1"/>
                <w:szCs w:val="28"/>
              </w:rPr>
            </w:pPr>
          </w:p>
          <w:p w:rsidR="00423F37" w:rsidRDefault="005970AC">
            <w:pPr>
              <w:spacing w:after="0" w:line="240" w:lineRule="auto"/>
              <w:jc w:val="center"/>
              <w:rPr>
                <w:b/>
                <w:color w:val="000000" w:themeColor="text1"/>
                <w:szCs w:val="28"/>
              </w:rPr>
            </w:pPr>
            <w:r>
              <w:rPr>
                <w:b/>
                <w:color w:val="000000" w:themeColor="text1"/>
                <w:szCs w:val="28"/>
              </w:rPr>
              <w:t>Phạm Văn Thắng</w:t>
            </w:r>
          </w:p>
        </w:tc>
      </w:tr>
    </w:tbl>
    <w:p w:rsidR="00423F37" w:rsidRDefault="00423F37">
      <w:pPr>
        <w:rPr>
          <w:color w:val="000000" w:themeColor="text1"/>
        </w:rPr>
      </w:pPr>
    </w:p>
    <w:p w:rsidR="00423F37" w:rsidRDefault="00423F37">
      <w:pPr>
        <w:rPr>
          <w:color w:val="000000" w:themeColor="text1"/>
        </w:rPr>
      </w:pPr>
    </w:p>
    <w:p w:rsidR="00423F37" w:rsidRDefault="00423F37">
      <w:pPr>
        <w:rPr>
          <w:color w:val="000000" w:themeColor="text1"/>
        </w:rPr>
      </w:pPr>
    </w:p>
    <w:sectPr w:rsidR="00423F37">
      <w:headerReference w:type="default" r:id="rId9"/>
      <w:pgSz w:w="11907" w:h="16840" w:code="9"/>
      <w:pgMar w:top="1134" w:right="1134" w:bottom="1276" w:left="1418"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24" w:rsidRDefault="008A5D24">
      <w:pPr>
        <w:spacing w:after="0" w:line="240" w:lineRule="auto"/>
      </w:pPr>
      <w:r>
        <w:separator/>
      </w:r>
    </w:p>
  </w:endnote>
  <w:endnote w:type="continuationSeparator" w:id="0">
    <w:p w:rsidR="008A5D24" w:rsidRDefault="008A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24" w:rsidRDefault="008A5D24">
      <w:pPr>
        <w:spacing w:after="0" w:line="240" w:lineRule="auto"/>
      </w:pPr>
      <w:r>
        <w:separator/>
      </w:r>
    </w:p>
  </w:footnote>
  <w:footnote w:type="continuationSeparator" w:id="0">
    <w:p w:rsidR="008A5D24" w:rsidRDefault="008A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37" w:rsidRDefault="005970AC">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A86CF8">
      <w:rPr>
        <w:noProof/>
        <w:sz w:val="26"/>
        <w:szCs w:val="26"/>
      </w:rPr>
      <w:t>2</w:t>
    </w:r>
    <w:r>
      <w:rPr>
        <w:noProof/>
        <w:sz w:val="26"/>
        <w:szCs w:val="26"/>
      </w:rPr>
      <w:fldChar w:fldCharType="end"/>
    </w:r>
  </w:p>
  <w:p w:rsidR="00423F37" w:rsidRDefault="00423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BAF"/>
    <w:multiLevelType w:val="hybridMultilevel"/>
    <w:tmpl w:val="A8ECE916"/>
    <w:lvl w:ilvl="0" w:tplc="1A5EE93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4C01686"/>
    <w:multiLevelType w:val="hybridMultilevel"/>
    <w:tmpl w:val="37C289F2"/>
    <w:lvl w:ilvl="0" w:tplc="58FE6356">
      <w:start w:val="1"/>
      <w:numFmt w:val="decimal"/>
      <w:suff w:val="space"/>
      <w:lvlText w:val="%1."/>
      <w:lvlJc w:val="left"/>
      <w:pPr>
        <w:ind w:left="1413" w:hanging="840"/>
      </w:pPr>
      <w:rPr>
        <w:rFonts w:hint="default"/>
      </w:rPr>
    </w:lvl>
    <w:lvl w:ilvl="1" w:tplc="042A0019" w:tentative="1">
      <w:start w:val="1"/>
      <w:numFmt w:val="lowerLetter"/>
      <w:lvlText w:val="%2."/>
      <w:lvlJc w:val="left"/>
      <w:pPr>
        <w:ind w:left="1653" w:hanging="360"/>
      </w:pPr>
    </w:lvl>
    <w:lvl w:ilvl="2" w:tplc="042A001B" w:tentative="1">
      <w:start w:val="1"/>
      <w:numFmt w:val="lowerRoman"/>
      <w:lvlText w:val="%3."/>
      <w:lvlJc w:val="right"/>
      <w:pPr>
        <w:ind w:left="2373" w:hanging="180"/>
      </w:pPr>
    </w:lvl>
    <w:lvl w:ilvl="3" w:tplc="042A000F" w:tentative="1">
      <w:start w:val="1"/>
      <w:numFmt w:val="decimal"/>
      <w:lvlText w:val="%4."/>
      <w:lvlJc w:val="left"/>
      <w:pPr>
        <w:ind w:left="3093" w:hanging="360"/>
      </w:pPr>
    </w:lvl>
    <w:lvl w:ilvl="4" w:tplc="042A0019" w:tentative="1">
      <w:start w:val="1"/>
      <w:numFmt w:val="lowerLetter"/>
      <w:lvlText w:val="%5."/>
      <w:lvlJc w:val="left"/>
      <w:pPr>
        <w:ind w:left="3813" w:hanging="360"/>
      </w:pPr>
    </w:lvl>
    <w:lvl w:ilvl="5" w:tplc="042A001B" w:tentative="1">
      <w:start w:val="1"/>
      <w:numFmt w:val="lowerRoman"/>
      <w:lvlText w:val="%6."/>
      <w:lvlJc w:val="right"/>
      <w:pPr>
        <w:ind w:left="4533" w:hanging="180"/>
      </w:pPr>
    </w:lvl>
    <w:lvl w:ilvl="6" w:tplc="042A000F" w:tentative="1">
      <w:start w:val="1"/>
      <w:numFmt w:val="decimal"/>
      <w:lvlText w:val="%7."/>
      <w:lvlJc w:val="left"/>
      <w:pPr>
        <w:ind w:left="5253" w:hanging="360"/>
      </w:pPr>
    </w:lvl>
    <w:lvl w:ilvl="7" w:tplc="042A0019" w:tentative="1">
      <w:start w:val="1"/>
      <w:numFmt w:val="lowerLetter"/>
      <w:lvlText w:val="%8."/>
      <w:lvlJc w:val="left"/>
      <w:pPr>
        <w:ind w:left="5973" w:hanging="360"/>
      </w:pPr>
    </w:lvl>
    <w:lvl w:ilvl="8" w:tplc="042A001B" w:tentative="1">
      <w:start w:val="1"/>
      <w:numFmt w:val="lowerRoman"/>
      <w:lvlText w:val="%9."/>
      <w:lvlJc w:val="right"/>
      <w:pPr>
        <w:ind w:left="6693" w:hanging="180"/>
      </w:pPr>
    </w:lvl>
  </w:abstractNum>
  <w:abstractNum w:abstractNumId="2">
    <w:nsid w:val="75EF1C1C"/>
    <w:multiLevelType w:val="hybridMultilevel"/>
    <w:tmpl w:val="7D26A7FC"/>
    <w:lvl w:ilvl="0" w:tplc="43EC16FE">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F37"/>
    <w:rsid w:val="000E501A"/>
    <w:rsid w:val="00181284"/>
    <w:rsid w:val="00187FC6"/>
    <w:rsid w:val="00251F8E"/>
    <w:rsid w:val="002932A5"/>
    <w:rsid w:val="00385031"/>
    <w:rsid w:val="003B2644"/>
    <w:rsid w:val="00401AC1"/>
    <w:rsid w:val="00423F37"/>
    <w:rsid w:val="005970AC"/>
    <w:rsid w:val="005C0E29"/>
    <w:rsid w:val="00767C02"/>
    <w:rsid w:val="008A5D24"/>
    <w:rsid w:val="00951994"/>
    <w:rsid w:val="009D0369"/>
    <w:rsid w:val="00A31510"/>
    <w:rsid w:val="00A86CF8"/>
    <w:rsid w:val="00C160C5"/>
    <w:rsid w:val="00D24464"/>
    <w:rsid w:val="00E13CF5"/>
    <w:rsid w:val="00E7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tLeast"/>
      <w:jc w:val="both"/>
    </w:pPr>
    <w:rPr>
      <w:sz w:val="28"/>
      <w:szCs w:val="22"/>
    </w:rPr>
  </w:style>
  <w:style w:type="paragraph" w:styleId="Heading3">
    <w:name w:val="heading 3"/>
    <w:basedOn w:val="Normal"/>
    <w:link w:val="Heading3Char"/>
    <w:uiPriority w:val="9"/>
    <w:qFormat/>
    <w:pPr>
      <w:spacing w:before="100" w:beforeAutospacing="1" w:after="100" w:afterAutospacing="1" w:line="240" w:lineRule="auto"/>
      <w:jc w:val="left"/>
      <w:outlineLvl w:val="2"/>
    </w:pPr>
    <w:rPr>
      <w:rFonts w:eastAsia="Times New Roman"/>
      <w:b/>
      <w:bCs/>
      <w:sz w:val="27"/>
      <w:szCs w:val="27"/>
    </w:rPr>
  </w:style>
  <w:style w:type="paragraph" w:styleId="Heading7">
    <w:name w:val="heading 7"/>
    <w:basedOn w:val="Normal"/>
    <w:next w:val="Normal"/>
    <w:link w:val="Heading7Char"/>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sz w:val="24"/>
      <w:szCs w:val="24"/>
      <w:lang w:val="vi-VN" w:eastAsia="vi-VN"/>
    </w:rPr>
  </w:style>
  <w:style w:type="paragraph" w:customStyle="1" w:styleId="Title1">
    <w:name w:val="Title1"/>
    <w:basedOn w:val="Normal"/>
    <w:uiPriority w:val="99"/>
    <w:semiHidden/>
    <w:pPr>
      <w:spacing w:before="100" w:beforeAutospacing="1" w:after="100" w:afterAutospacing="1" w:line="240" w:lineRule="auto"/>
      <w:jc w:val="left"/>
    </w:pPr>
    <w:rPr>
      <w:rFonts w:eastAsia="Times New Roman"/>
      <w:sz w:val="24"/>
      <w:szCs w:val="24"/>
    </w:rPr>
  </w:style>
  <w:style w:type="character" w:customStyle="1" w:styleId="Heading3Char">
    <w:name w:val="Heading 3 Char"/>
    <w:link w:val="Heading3"/>
    <w:uiPriority w:val="9"/>
    <w:rPr>
      <w:rFonts w:eastAsia="Times New Roman"/>
      <w:b/>
      <w:bCs/>
      <w:sz w:val="27"/>
      <w:szCs w:val="27"/>
    </w:rPr>
  </w:style>
  <w:style w:type="character" w:styleId="Hyperlink">
    <w:name w:val="Hyperlink"/>
    <w:uiPriority w:val="99"/>
    <w:rPr>
      <w:color w:val="0000FF"/>
      <w:u w:val="single"/>
    </w:rPr>
  </w:style>
  <w:style w:type="paragraph" w:styleId="TOC3">
    <w:name w:val="toc 3"/>
    <w:basedOn w:val="Normal"/>
    <w:next w:val="Normal"/>
    <w:uiPriority w:val="39"/>
    <w:pPr>
      <w:widowControl w:val="0"/>
      <w:suppressAutoHyphens/>
      <w:spacing w:after="0" w:line="288" w:lineRule="auto"/>
      <w:ind w:left="567"/>
    </w:pPr>
    <w:rPr>
      <w:rFonts w:eastAsia="Batang"/>
      <w:i/>
      <w:sz w:val="26"/>
      <w:szCs w:val="24"/>
      <w:lang w:eastAsia="ko-KR"/>
    </w:rPr>
  </w:style>
  <w:style w:type="paragraph" w:styleId="ListParagraph">
    <w:name w:val="List Paragraph"/>
    <w:basedOn w:val="Normal"/>
    <w:uiPriority w:val="34"/>
    <w:qFormat/>
    <w:pPr>
      <w:spacing w:after="0" w:line="240" w:lineRule="auto"/>
      <w:ind w:left="720"/>
      <w:contextualSpacing/>
      <w:jc w:val="left"/>
    </w:pPr>
    <w:rPr>
      <w:rFonts w:eastAsia="Times New Roman"/>
      <w:sz w:val="24"/>
      <w:szCs w:val="24"/>
    </w:rPr>
  </w:style>
  <w:style w:type="character" w:styleId="FollowedHyperlink">
    <w:name w:val="FollowedHyperlink"/>
    <w:uiPriority w:val="99"/>
    <w:semiHidden/>
    <w:unhideWhenUsed/>
    <w:rPr>
      <w:color w:val="954F72"/>
      <w:u w:val="single"/>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8"/>
      <w:szCs w:val="22"/>
    </w:rPr>
  </w:style>
  <w:style w:type="paragraph" w:customStyle="1" w:styleId="TableParagraph">
    <w:name w:val="Table Paragraph"/>
    <w:basedOn w:val="Normal"/>
    <w:uiPriority w:val="1"/>
    <w:qFormat/>
    <w:pPr>
      <w:widowControl w:val="0"/>
      <w:autoSpaceDE w:val="0"/>
      <w:autoSpaceDN w:val="0"/>
      <w:spacing w:after="0" w:line="240" w:lineRule="auto"/>
      <w:ind w:left="108"/>
      <w:jc w:val="left"/>
    </w:pPr>
    <w:rPr>
      <w:rFonts w:ascii="Arial" w:eastAsia="Arial" w:hAnsi="Arial" w:cs="Arial"/>
      <w:sz w:val="22"/>
      <w:lang w:bidi="en-U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tLeast"/>
      <w:jc w:val="both"/>
    </w:pPr>
    <w:rPr>
      <w:sz w:val="28"/>
      <w:szCs w:val="22"/>
    </w:rPr>
  </w:style>
  <w:style w:type="paragraph" w:styleId="Heading3">
    <w:name w:val="heading 3"/>
    <w:basedOn w:val="Normal"/>
    <w:link w:val="Heading3Char"/>
    <w:uiPriority w:val="9"/>
    <w:qFormat/>
    <w:pPr>
      <w:spacing w:before="100" w:beforeAutospacing="1" w:after="100" w:afterAutospacing="1" w:line="240" w:lineRule="auto"/>
      <w:jc w:val="left"/>
      <w:outlineLvl w:val="2"/>
    </w:pPr>
    <w:rPr>
      <w:rFonts w:eastAsia="Times New Roman"/>
      <w:b/>
      <w:bCs/>
      <w:sz w:val="27"/>
      <w:szCs w:val="27"/>
    </w:rPr>
  </w:style>
  <w:style w:type="paragraph" w:styleId="Heading7">
    <w:name w:val="heading 7"/>
    <w:basedOn w:val="Normal"/>
    <w:next w:val="Normal"/>
    <w:link w:val="Heading7Char"/>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sz w:val="24"/>
      <w:szCs w:val="24"/>
      <w:lang w:val="vi-VN" w:eastAsia="vi-VN"/>
    </w:rPr>
  </w:style>
  <w:style w:type="paragraph" w:customStyle="1" w:styleId="Title1">
    <w:name w:val="Title1"/>
    <w:basedOn w:val="Normal"/>
    <w:uiPriority w:val="99"/>
    <w:semiHidden/>
    <w:pPr>
      <w:spacing w:before="100" w:beforeAutospacing="1" w:after="100" w:afterAutospacing="1" w:line="240" w:lineRule="auto"/>
      <w:jc w:val="left"/>
    </w:pPr>
    <w:rPr>
      <w:rFonts w:eastAsia="Times New Roman"/>
      <w:sz w:val="24"/>
      <w:szCs w:val="24"/>
    </w:rPr>
  </w:style>
  <w:style w:type="character" w:customStyle="1" w:styleId="Heading3Char">
    <w:name w:val="Heading 3 Char"/>
    <w:link w:val="Heading3"/>
    <w:uiPriority w:val="9"/>
    <w:rPr>
      <w:rFonts w:eastAsia="Times New Roman"/>
      <w:b/>
      <w:bCs/>
      <w:sz w:val="27"/>
      <w:szCs w:val="27"/>
    </w:rPr>
  </w:style>
  <w:style w:type="character" w:styleId="Hyperlink">
    <w:name w:val="Hyperlink"/>
    <w:uiPriority w:val="99"/>
    <w:rPr>
      <w:color w:val="0000FF"/>
      <w:u w:val="single"/>
    </w:rPr>
  </w:style>
  <w:style w:type="paragraph" w:styleId="TOC3">
    <w:name w:val="toc 3"/>
    <w:basedOn w:val="Normal"/>
    <w:next w:val="Normal"/>
    <w:uiPriority w:val="39"/>
    <w:pPr>
      <w:widowControl w:val="0"/>
      <w:suppressAutoHyphens/>
      <w:spacing w:after="0" w:line="288" w:lineRule="auto"/>
      <w:ind w:left="567"/>
    </w:pPr>
    <w:rPr>
      <w:rFonts w:eastAsia="Batang"/>
      <w:i/>
      <w:sz w:val="26"/>
      <w:szCs w:val="24"/>
      <w:lang w:eastAsia="ko-KR"/>
    </w:rPr>
  </w:style>
  <w:style w:type="paragraph" w:styleId="ListParagraph">
    <w:name w:val="List Paragraph"/>
    <w:basedOn w:val="Normal"/>
    <w:uiPriority w:val="34"/>
    <w:qFormat/>
    <w:pPr>
      <w:spacing w:after="0" w:line="240" w:lineRule="auto"/>
      <w:ind w:left="720"/>
      <w:contextualSpacing/>
      <w:jc w:val="left"/>
    </w:pPr>
    <w:rPr>
      <w:rFonts w:eastAsia="Times New Roman"/>
      <w:sz w:val="24"/>
      <w:szCs w:val="24"/>
    </w:rPr>
  </w:style>
  <w:style w:type="character" w:styleId="FollowedHyperlink">
    <w:name w:val="FollowedHyperlink"/>
    <w:uiPriority w:val="99"/>
    <w:semiHidden/>
    <w:unhideWhenUsed/>
    <w:rPr>
      <w:color w:val="954F72"/>
      <w:u w:val="single"/>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8"/>
      <w:szCs w:val="22"/>
    </w:rPr>
  </w:style>
  <w:style w:type="paragraph" w:customStyle="1" w:styleId="TableParagraph">
    <w:name w:val="Table Paragraph"/>
    <w:basedOn w:val="Normal"/>
    <w:uiPriority w:val="1"/>
    <w:qFormat/>
    <w:pPr>
      <w:widowControl w:val="0"/>
      <w:autoSpaceDE w:val="0"/>
      <w:autoSpaceDN w:val="0"/>
      <w:spacing w:after="0" w:line="240" w:lineRule="auto"/>
      <w:ind w:left="108"/>
      <w:jc w:val="left"/>
    </w:pPr>
    <w:rPr>
      <w:rFonts w:ascii="Arial" w:eastAsia="Arial" w:hAnsi="Arial" w:cs="Arial"/>
      <w:sz w:val="22"/>
      <w:lang w:bidi="en-U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604">
      <w:bodyDiv w:val="1"/>
      <w:marLeft w:val="0"/>
      <w:marRight w:val="0"/>
      <w:marTop w:val="0"/>
      <w:marBottom w:val="0"/>
      <w:divBdr>
        <w:top w:val="none" w:sz="0" w:space="0" w:color="auto"/>
        <w:left w:val="none" w:sz="0" w:space="0" w:color="auto"/>
        <w:bottom w:val="none" w:sz="0" w:space="0" w:color="auto"/>
        <w:right w:val="none" w:sz="0" w:space="0" w:color="auto"/>
      </w:divBdr>
    </w:div>
    <w:div w:id="67307759">
      <w:bodyDiv w:val="1"/>
      <w:marLeft w:val="0"/>
      <w:marRight w:val="0"/>
      <w:marTop w:val="0"/>
      <w:marBottom w:val="0"/>
      <w:divBdr>
        <w:top w:val="none" w:sz="0" w:space="0" w:color="auto"/>
        <w:left w:val="none" w:sz="0" w:space="0" w:color="auto"/>
        <w:bottom w:val="none" w:sz="0" w:space="0" w:color="auto"/>
        <w:right w:val="none" w:sz="0" w:space="0" w:color="auto"/>
      </w:divBdr>
    </w:div>
    <w:div w:id="80614088">
      <w:bodyDiv w:val="1"/>
      <w:marLeft w:val="0"/>
      <w:marRight w:val="0"/>
      <w:marTop w:val="0"/>
      <w:marBottom w:val="0"/>
      <w:divBdr>
        <w:top w:val="none" w:sz="0" w:space="0" w:color="auto"/>
        <w:left w:val="none" w:sz="0" w:space="0" w:color="auto"/>
        <w:bottom w:val="none" w:sz="0" w:space="0" w:color="auto"/>
        <w:right w:val="none" w:sz="0" w:space="0" w:color="auto"/>
      </w:divBdr>
    </w:div>
    <w:div w:id="103353191">
      <w:bodyDiv w:val="1"/>
      <w:marLeft w:val="0"/>
      <w:marRight w:val="0"/>
      <w:marTop w:val="0"/>
      <w:marBottom w:val="0"/>
      <w:divBdr>
        <w:top w:val="none" w:sz="0" w:space="0" w:color="auto"/>
        <w:left w:val="none" w:sz="0" w:space="0" w:color="auto"/>
        <w:bottom w:val="none" w:sz="0" w:space="0" w:color="auto"/>
        <w:right w:val="none" w:sz="0" w:space="0" w:color="auto"/>
      </w:divBdr>
    </w:div>
    <w:div w:id="128477417">
      <w:bodyDiv w:val="1"/>
      <w:marLeft w:val="0"/>
      <w:marRight w:val="0"/>
      <w:marTop w:val="0"/>
      <w:marBottom w:val="0"/>
      <w:divBdr>
        <w:top w:val="none" w:sz="0" w:space="0" w:color="auto"/>
        <w:left w:val="none" w:sz="0" w:space="0" w:color="auto"/>
        <w:bottom w:val="none" w:sz="0" w:space="0" w:color="auto"/>
        <w:right w:val="none" w:sz="0" w:space="0" w:color="auto"/>
      </w:divBdr>
    </w:div>
    <w:div w:id="784810578">
      <w:bodyDiv w:val="1"/>
      <w:marLeft w:val="0"/>
      <w:marRight w:val="0"/>
      <w:marTop w:val="0"/>
      <w:marBottom w:val="0"/>
      <w:divBdr>
        <w:top w:val="none" w:sz="0" w:space="0" w:color="auto"/>
        <w:left w:val="none" w:sz="0" w:space="0" w:color="auto"/>
        <w:bottom w:val="none" w:sz="0" w:space="0" w:color="auto"/>
        <w:right w:val="none" w:sz="0" w:space="0" w:color="auto"/>
      </w:divBdr>
    </w:div>
    <w:div w:id="1530296844">
      <w:bodyDiv w:val="1"/>
      <w:marLeft w:val="0"/>
      <w:marRight w:val="0"/>
      <w:marTop w:val="0"/>
      <w:marBottom w:val="0"/>
      <w:divBdr>
        <w:top w:val="none" w:sz="0" w:space="0" w:color="auto"/>
        <w:left w:val="none" w:sz="0" w:space="0" w:color="auto"/>
        <w:bottom w:val="none" w:sz="0" w:space="0" w:color="auto"/>
        <w:right w:val="none" w:sz="0" w:space="0" w:color="auto"/>
      </w:divBdr>
    </w:div>
    <w:div w:id="20458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6733-A0ED-40F1-B644-0B1B8DFE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Phòng Văn hoá – Thông tin - UBND huyện Cẩm Xuyên</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hoá – Thông tin - UBND huyện Cẩm Xuyên</dc:title>
  <dc:creator>Van Xuan</dc:creator>
  <cp:lastModifiedBy>Lam hong</cp:lastModifiedBy>
  <cp:revision>39</cp:revision>
  <cp:lastPrinted>2021-12-30T03:26:00Z</cp:lastPrinted>
  <dcterms:created xsi:type="dcterms:W3CDTF">2022-11-25T00:58:00Z</dcterms:created>
  <dcterms:modified xsi:type="dcterms:W3CDTF">2022-11-25T03:13:00Z</dcterms:modified>
</cp:coreProperties>
</file>